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BFEF2" w14:textId="47A73938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255B46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255B46">
        <w:rPr>
          <w:rFonts w:ascii="Corbel" w:hAnsi="Corbel"/>
          <w:bCs/>
          <w:i/>
        </w:rPr>
        <w:t>23</w:t>
      </w:r>
    </w:p>
    <w:p w14:paraId="41D07AA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5FF4D49" w14:textId="07C1095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BC755D">
        <w:rPr>
          <w:rFonts w:ascii="Corbel" w:hAnsi="Corbel"/>
          <w:i/>
          <w:smallCaps/>
          <w:sz w:val="24"/>
          <w:szCs w:val="24"/>
        </w:rPr>
        <w:t>2023</w:t>
      </w:r>
      <w:r w:rsidR="001707A4">
        <w:rPr>
          <w:rFonts w:ascii="Corbel" w:hAnsi="Corbel"/>
          <w:i/>
          <w:smallCaps/>
          <w:sz w:val="24"/>
          <w:szCs w:val="24"/>
        </w:rPr>
        <w:t>- 20</w:t>
      </w:r>
      <w:r w:rsidR="00081CAC">
        <w:rPr>
          <w:rFonts w:ascii="Corbel" w:hAnsi="Corbel"/>
          <w:i/>
          <w:smallCaps/>
          <w:sz w:val="24"/>
          <w:szCs w:val="24"/>
        </w:rPr>
        <w:t>2</w:t>
      </w:r>
      <w:r w:rsidR="00BC755D">
        <w:rPr>
          <w:rFonts w:ascii="Corbel" w:hAnsi="Corbel"/>
          <w:i/>
          <w:smallCaps/>
          <w:sz w:val="24"/>
          <w:szCs w:val="24"/>
        </w:rPr>
        <w:t>6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E44CED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BF3E4F" w14:textId="1A7697C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55B46">
        <w:rPr>
          <w:rFonts w:ascii="Corbel" w:hAnsi="Corbel"/>
          <w:sz w:val="20"/>
          <w:szCs w:val="20"/>
        </w:rPr>
        <w:t xml:space="preserve">…… </w:t>
      </w:r>
      <w:r w:rsidR="008A62CD">
        <w:rPr>
          <w:rFonts w:ascii="Corbel" w:hAnsi="Corbel"/>
          <w:sz w:val="20"/>
          <w:szCs w:val="20"/>
        </w:rPr>
        <w:t>20</w:t>
      </w:r>
      <w:r w:rsidR="00322CFB">
        <w:rPr>
          <w:rFonts w:ascii="Corbel" w:hAnsi="Corbel"/>
          <w:sz w:val="20"/>
          <w:szCs w:val="20"/>
        </w:rPr>
        <w:t>2</w:t>
      </w:r>
      <w:r w:rsidR="00BC755D">
        <w:rPr>
          <w:rFonts w:ascii="Corbel" w:hAnsi="Corbel"/>
          <w:sz w:val="20"/>
          <w:szCs w:val="20"/>
        </w:rPr>
        <w:t>5</w:t>
      </w:r>
      <w:r w:rsidR="008A62CD">
        <w:rPr>
          <w:rFonts w:ascii="Corbel" w:hAnsi="Corbel"/>
          <w:sz w:val="20"/>
          <w:szCs w:val="20"/>
        </w:rPr>
        <w:t>/202</w:t>
      </w:r>
      <w:r w:rsidR="00BC755D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...............</w:t>
      </w:r>
    </w:p>
    <w:p w14:paraId="13C625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94DB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D77B3F0" w14:textId="77777777" w:rsidTr="00B819C8">
        <w:tc>
          <w:tcPr>
            <w:tcW w:w="2694" w:type="dxa"/>
            <w:vAlign w:val="center"/>
          </w:tcPr>
          <w:p w14:paraId="70B288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225DDE" w14:textId="77777777"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t>Historia filozofii współczesnej</w:t>
            </w:r>
          </w:p>
        </w:tc>
      </w:tr>
      <w:tr w:rsidR="0085747A" w:rsidRPr="009C54AE" w14:paraId="614DDD89" w14:textId="77777777" w:rsidTr="00B819C8">
        <w:tc>
          <w:tcPr>
            <w:tcW w:w="2694" w:type="dxa"/>
            <w:vAlign w:val="center"/>
          </w:tcPr>
          <w:p w14:paraId="143ED11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E7023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0CAC931" w14:textId="77777777" w:rsidTr="00B819C8">
        <w:tc>
          <w:tcPr>
            <w:tcW w:w="2694" w:type="dxa"/>
            <w:vAlign w:val="center"/>
          </w:tcPr>
          <w:p w14:paraId="0338C8E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7F4019" w14:textId="77777777"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9C54AE" w14:paraId="07F70A11" w14:textId="77777777" w:rsidTr="00B819C8">
        <w:tc>
          <w:tcPr>
            <w:tcW w:w="2694" w:type="dxa"/>
            <w:vAlign w:val="center"/>
          </w:tcPr>
          <w:p w14:paraId="4E9519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02B56E" w14:textId="77777777"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9C54AE" w14:paraId="3E1A9322" w14:textId="77777777" w:rsidTr="00B819C8">
        <w:tc>
          <w:tcPr>
            <w:tcW w:w="2694" w:type="dxa"/>
            <w:vAlign w:val="center"/>
          </w:tcPr>
          <w:p w14:paraId="2B49DE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DB7B6B" w14:textId="77777777"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85747A" w:rsidRPr="009C54AE" w14:paraId="2E343802" w14:textId="77777777" w:rsidTr="00B819C8">
        <w:tc>
          <w:tcPr>
            <w:tcW w:w="2694" w:type="dxa"/>
            <w:vAlign w:val="center"/>
          </w:tcPr>
          <w:p w14:paraId="1C8B625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482EB2" w14:textId="60AD8526" w:rsidR="0085747A" w:rsidRPr="009C54AE" w:rsidRDefault="004F3C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s</w:t>
            </w:r>
            <w:r w:rsidR="008A62CD">
              <w:rPr>
                <w:b w:val="0"/>
              </w:rPr>
              <w:t>tudia pierwszego stopnia</w:t>
            </w:r>
          </w:p>
        </w:tc>
      </w:tr>
      <w:tr w:rsidR="0085747A" w:rsidRPr="009C54AE" w14:paraId="30E765F4" w14:textId="77777777" w:rsidTr="00B819C8">
        <w:tc>
          <w:tcPr>
            <w:tcW w:w="2694" w:type="dxa"/>
            <w:vAlign w:val="center"/>
          </w:tcPr>
          <w:p w14:paraId="24557A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4179B7" w14:textId="73734F43" w:rsidR="0085747A" w:rsidRPr="00F65825" w:rsidRDefault="004F3C8E" w:rsidP="009C54AE">
            <w:pPr>
              <w:pStyle w:val="Odpowiedzi"/>
              <w:spacing w:before="100" w:beforeAutospacing="1" w:after="100" w:afterAutospacing="1"/>
              <w:rPr>
                <w:b w:val="0"/>
                <w:szCs w:val="20"/>
              </w:rPr>
            </w:pPr>
            <w:r w:rsidRPr="00F65825">
              <w:rPr>
                <w:b w:val="0"/>
                <w:szCs w:val="20"/>
              </w:rPr>
              <w:t>o</w:t>
            </w:r>
            <w:r w:rsidR="00D87DDA" w:rsidRPr="00F65825">
              <w:rPr>
                <w:b w:val="0"/>
                <w:szCs w:val="20"/>
              </w:rPr>
              <w:t>gólnoakademicki</w:t>
            </w:r>
          </w:p>
        </w:tc>
      </w:tr>
      <w:tr w:rsidR="0085747A" w:rsidRPr="009C54AE" w14:paraId="023DB794" w14:textId="77777777" w:rsidTr="00B819C8">
        <w:tc>
          <w:tcPr>
            <w:tcW w:w="2694" w:type="dxa"/>
            <w:vAlign w:val="center"/>
          </w:tcPr>
          <w:p w14:paraId="383F20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DD060B" w14:textId="12D5F1E8" w:rsidR="0085747A" w:rsidRPr="009C54AE" w:rsidRDefault="004F3C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cs="Calibri"/>
                <w:b w:val="0"/>
              </w:rPr>
              <w:t>s</w:t>
            </w:r>
            <w:r w:rsidR="008A62CD">
              <w:rPr>
                <w:rFonts w:cs="Calibri"/>
                <w:b w:val="0"/>
              </w:rPr>
              <w:t>tudia stacjonarne</w:t>
            </w:r>
          </w:p>
        </w:tc>
      </w:tr>
      <w:tr w:rsidR="0085747A" w:rsidRPr="009C54AE" w14:paraId="0D53A225" w14:textId="77777777" w:rsidTr="00B819C8">
        <w:tc>
          <w:tcPr>
            <w:tcW w:w="2694" w:type="dxa"/>
            <w:vAlign w:val="center"/>
          </w:tcPr>
          <w:p w14:paraId="14B86B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04CDB1" w14:textId="73CAB365" w:rsidR="0085747A" w:rsidRPr="009C54AE" w:rsidRDefault="004F3C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r</w:t>
            </w:r>
            <w:r w:rsidR="008A62CD">
              <w:rPr>
                <w:b w:val="0"/>
              </w:rPr>
              <w:t>ok III semestr V</w:t>
            </w:r>
            <w:r w:rsidR="00081CAC">
              <w:rPr>
                <w:b w:val="0"/>
              </w:rPr>
              <w:t xml:space="preserve"> i</w:t>
            </w:r>
            <w:r w:rsidR="008A62CD">
              <w:rPr>
                <w:b w:val="0"/>
              </w:rPr>
              <w:t xml:space="preserve"> VI</w:t>
            </w:r>
          </w:p>
        </w:tc>
      </w:tr>
      <w:tr w:rsidR="0085747A" w:rsidRPr="009C54AE" w14:paraId="51C4C0C2" w14:textId="77777777" w:rsidTr="00B819C8">
        <w:tc>
          <w:tcPr>
            <w:tcW w:w="2694" w:type="dxa"/>
            <w:vAlign w:val="center"/>
          </w:tcPr>
          <w:p w14:paraId="5C802A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F21963" w14:textId="0FEE4F22" w:rsidR="0085747A" w:rsidRPr="009C54AE" w:rsidRDefault="004F3C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p</w:t>
            </w:r>
            <w:r w:rsidR="008A62CD">
              <w:rPr>
                <w:b w:val="0"/>
              </w:rPr>
              <w:t>odstawowy</w:t>
            </w:r>
          </w:p>
        </w:tc>
      </w:tr>
      <w:tr w:rsidR="00923D7D" w:rsidRPr="009C54AE" w14:paraId="547718AC" w14:textId="77777777" w:rsidTr="00B819C8">
        <w:tc>
          <w:tcPr>
            <w:tcW w:w="2694" w:type="dxa"/>
            <w:vAlign w:val="center"/>
          </w:tcPr>
          <w:p w14:paraId="0423AB7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76D285" w14:textId="77777777" w:rsidR="00923D7D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5825">
              <w:rPr>
                <w:b w:val="0"/>
              </w:rPr>
              <w:t>j. polski</w:t>
            </w:r>
          </w:p>
        </w:tc>
      </w:tr>
      <w:tr w:rsidR="0085747A" w:rsidRPr="009C54AE" w14:paraId="78971805" w14:textId="77777777" w:rsidTr="00B819C8">
        <w:tc>
          <w:tcPr>
            <w:tcW w:w="2694" w:type="dxa"/>
            <w:vAlign w:val="center"/>
          </w:tcPr>
          <w:p w14:paraId="77FA6E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F52C4" w14:textId="77777777"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hab. Andrzej Niemczuk, prof. UR</w:t>
            </w:r>
          </w:p>
        </w:tc>
      </w:tr>
      <w:tr w:rsidR="0085747A" w:rsidRPr="009C54AE" w14:paraId="612F9AC7" w14:textId="77777777" w:rsidTr="00B819C8">
        <w:tc>
          <w:tcPr>
            <w:tcW w:w="2694" w:type="dxa"/>
            <w:vAlign w:val="center"/>
          </w:tcPr>
          <w:p w14:paraId="57816A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DDE10C" w14:textId="7D8CB339" w:rsidR="008A62CD" w:rsidRDefault="008A62CD" w:rsidP="008A62CD">
            <w:pPr>
              <w:pStyle w:val="Odpowiedzi"/>
            </w:pPr>
            <w:r>
              <w:rPr>
                <w:b w:val="0"/>
                <w:sz w:val="22"/>
              </w:rPr>
              <w:t>Dr hab. Andrzej Niemczuk, prof. UR</w:t>
            </w:r>
            <w:r w:rsidR="00D149B5">
              <w:rPr>
                <w:b w:val="0"/>
                <w:sz w:val="22"/>
              </w:rPr>
              <w:t xml:space="preserve"> (wykład)</w:t>
            </w:r>
          </w:p>
          <w:p w14:paraId="4D0F5B55" w14:textId="32C788E7" w:rsidR="0085747A" w:rsidRPr="009C54AE" w:rsidRDefault="008A62CD" w:rsidP="008A6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Marek Bosak</w:t>
            </w:r>
            <w:r w:rsidR="00D149B5">
              <w:rPr>
                <w:b w:val="0"/>
                <w:sz w:val="22"/>
              </w:rPr>
              <w:t xml:space="preserve"> (ćwiczenia)</w:t>
            </w:r>
          </w:p>
        </w:tc>
      </w:tr>
    </w:tbl>
    <w:p w14:paraId="7A51A86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9B61E4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AB57A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F2FADE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758343A" w14:textId="77777777" w:rsidTr="006F5B4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1E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2E70D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C6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71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A2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D5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F4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A5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B1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09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6F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F5B44" w:rsidRPr="009C54AE" w14:paraId="587F42A0" w14:textId="77777777" w:rsidTr="006F5B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6C83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B675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6A50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67AA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C51E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DA00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247E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BE3A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A9B6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28182" w14:textId="7F1D6146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F5B44" w:rsidRPr="009C54AE" w14:paraId="7A1E7004" w14:textId="77777777" w:rsidTr="006F5B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B45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D310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BABE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F220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D12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E0A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FCE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FA82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43FD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16EE" w14:textId="3D2D0FBA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CBC353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51C72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B523D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D0C182D" w14:textId="034BCA4E" w:rsidR="0085747A" w:rsidRPr="008A62CD" w:rsidRDefault="00E84E5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sdt>
        <w:sdtPr>
          <w:rPr>
            <w:rFonts w:ascii="MS Gothic" w:eastAsia="MS Gothic" w:hAnsi="MS Gothic" w:cs="MS Gothic" w:hint="eastAsia"/>
            <w:b w:val="0"/>
            <w:szCs w:val="24"/>
            <w:u w:val="single"/>
          </w:rPr>
          <w:id w:val="-1248416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5B46">
            <w:rPr>
              <w:rFonts w:ascii="MS Gothic" w:eastAsia="MS Gothic" w:hAnsi="MS Gothic" w:cs="MS Gothic" w:hint="eastAsia"/>
              <w:b w:val="0"/>
              <w:szCs w:val="24"/>
              <w:u w:val="single"/>
            </w:rPr>
            <w:t>☒</w:t>
          </w:r>
        </w:sdtContent>
      </w:sdt>
      <w:r w:rsidR="0085747A" w:rsidRPr="008A62C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408679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79EA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300073" w14:textId="23A78999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58E0BCD" w14:textId="77777777" w:rsidR="008A62CD" w:rsidRDefault="008A62CD" w:rsidP="008A62CD">
      <w:pPr>
        <w:pStyle w:val="Punktygwne"/>
        <w:spacing w:before="0" w:after="0"/>
      </w:pPr>
      <w:r>
        <w:rPr>
          <w:rFonts w:ascii="Corbel" w:hAnsi="Corbel"/>
          <w:b w:val="0"/>
          <w:szCs w:val="24"/>
        </w:rPr>
        <w:tab/>
      </w:r>
      <w:r>
        <w:rPr>
          <w:b w:val="0"/>
          <w:i/>
          <w:smallCaps w:val="0"/>
          <w:sz w:val="22"/>
        </w:rPr>
        <w:t>Wykład – egzamin ustny; ćw. - zaliczenie z oceną</w:t>
      </w:r>
    </w:p>
    <w:p w14:paraId="5567910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2FC4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040D2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D5CF09" w14:textId="77777777" w:rsidTr="00745302">
        <w:tc>
          <w:tcPr>
            <w:tcW w:w="9670" w:type="dxa"/>
          </w:tcPr>
          <w:p w14:paraId="6278515A" w14:textId="77777777" w:rsidR="0085747A" w:rsidRPr="008A62CD" w:rsidRDefault="008A62CD" w:rsidP="008A62CD">
            <w:pPr>
              <w:pStyle w:val="Textbody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Zaliczenie przedmiotów: Wstęp do filozofii; Historia filozofii starożytnej, Historia filozofii średniowiecznej; Historia filozofii nowożytnej</w:t>
            </w:r>
          </w:p>
        </w:tc>
      </w:tr>
    </w:tbl>
    <w:p w14:paraId="71746CA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782698" w14:textId="5F0A27D9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0E6D616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3F3BA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5E08A8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4C98B98" w14:textId="77777777" w:rsidTr="004F3C8E">
        <w:tc>
          <w:tcPr>
            <w:tcW w:w="844" w:type="dxa"/>
            <w:vAlign w:val="center"/>
          </w:tcPr>
          <w:p w14:paraId="023019F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A61E5CA" w14:textId="77777777" w:rsidR="008A62CD" w:rsidRDefault="008A62CD" w:rsidP="008A62CD">
            <w:pPr>
              <w:pStyle w:val="Podpunkty"/>
              <w:spacing w:before="40" w:after="40"/>
              <w:ind w:left="0"/>
            </w:pPr>
            <w:r>
              <w:rPr>
                <w:b w:val="0"/>
              </w:rPr>
              <w:t>Celem nauczania Historii filozofii współczesnej jest przyswojenie przez studentów podstawowej wiedzy na temat najważniejszych idei, problemów i argumentacji, wytworzonych w okresie objętym terminem „filozofia współczesna” (od końca XIX wieku do końca XX wieku). Celem wykładu jest</w:t>
            </w:r>
          </w:p>
          <w:p w14:paraId="68B938EB" w14:textId="4C196F51" w:rsidR="0085747A" w:rsidRPr="009C54AE" w:rsidRDefault="008A62CD" w:rsidP="008A62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 xml:space="preserve">systematyczna prezentacja poszczególnych teorii i wyjaśnienie tworzących je pojęć filozoficznych (wraz z ich założeniami i konsekwencjami), a także przedstawienie dyskutowanych w filozofii współczesnej problemów (wraz z ich kontekstami historycznymi i merytorycznymi) oraz wysuwanych argumentacji. </w:t>
            </w:r>
          </w:p>
        </w:tc>
      </w:tr>
      <w:tr w:rsidR="0085747A" w:rsidRPr="009C54AE" w14:paraId="17E054FE" w14:textId="77777777" w:rsidTr="004F3C8E">
        <w:tc>
          <w:tcPr>
            <w:tcW w:w="844" w:type="dxa"/>
            <w:vAlign w:val="center"/>
          </w:tcPr>
          <w:p w14:paraId="62FD16EA" w14:textId="1B0BC5D7" w:rsidR="0085747A" w:rsidRPr="009C54AE" w:rsidRDefault="004F3C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26500E7" w14:textId="06D05331" w:rsidR="0085747A" w:rsidRPr="009C54AE" w:rsidRDefault="004F3C8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Celem ćwiczeń jest analiza i merytoryczna dyskusja dotycząca najważniejszych fragmentów tekstów z zakresu filozofii współczesnej.</w:t>
            </w:r>
          </w:p>
        </w:tc>
      </w:tr>
    </w:tbl>
    <w:p w14:paraId="747EC6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A0071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3CF2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48756D5" w14:textId="77777777" w:rsidTr="00F512A6">
        <w:tc>
          <w:tcPr>
            <w:tcW w:w="1680" w:type="dxa"/>
            <w:vAlign w:val="center"/>
          </w:tcPr>
          <w:p w14:paraId="692EBB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0E5FD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234896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12A6" w:rsidRPr="009C54AE" w14:paraId="2EFF9FE5" w14:textId="77777777" w:rsidTr="003C09FB">
        <w:tc>
          <w:tcPr>
            <w:tcW w:w="9520" w:type="dxa"/>
            <w:gridSpan w:val="3"/>
            <w:vAlign w:val="center"/>
          </w:tcPr>
          <w:p w14:paraId="06E07E1D" w14:textId="77777777" w:rsidR="00F512A6" w:rsidRDefault="00F512A6" w:rsidP="00F512A6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255B46">
              <w:rPr>
                <w:b w:val="0"/>
                <w:smallCaps w:val="0"/>
                <w:sz w:val="22"/>
              </w:rPr>
              <w:t>Wiedza: absolwent zna i rozumie</w:t>
            </w:r>
            <w:r>
              <w:rPr>
                <w:b w:val="0"/>
                <w:smallCaps w:val="0"/>
                <w:sz w:val="22"/>
              </w:rPr>
              <w:t>:</w:t>
            </w:r>
          </w:p>
          <w:p w14:paraId="6EC5A2B3" w14:textId="77777777" w:rsidR="00F512A6" w:rsidRPr="009C54AE" w:rsidRDefault="00F512A6" w:rsidP="00F512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76010AE0" w14:textId="77777777" w:rsidTr="00F512A6">
        <w:tc>
          <w:tcPr>
            <w:tcW w:w="1680" w:type="dxa"/>
          </w:tcPr>
          <w:p w14:paraId="171B083E" w14:textId="3769DD95" w:rsidR="008A62CD" w:rsidRPr="009C54AE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EK1</w:t>
            </w:r>
          </w:p>
        </w:tc>
        <w:tc>
          <w:tcPr>
            <w:tcW w:w="5975" w:type="dxa"/>
          </w:tcPr>
          <w:p w14:paraId="46A02284" w14:textId="32E7EEB0" w:rsidR="0085747A" w:rsidRPr="00803B2C" w:rsidRDefault="00D60ACE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55B46">
              <w:rPr>
                <w:b w:val="0"/>
                <w:smallCaps w:val="0"/>
                <w:sz w:val="22"/>
              </w:rPr>
              <w:t>absolwent zna i rozumie</w:t>
            </w:r>
            <w:r>
              <w:rPr>
                <w:b w:val="0"/>
                <w:smallCaps w:val="0"/>
                <w:sz w:val="22"/>
              </w:rPr>
              <w:t xml:space="preserve">: </w:t>
            </w:r>
            <w:r w:rsidR="00255B46">
              <w:rPr>
                <w:b w:val="0"/>
                <w:smallCaps w:val="0"/>
                <w:sz w:val="22"/>
              </w:rPr>
              <w:t xml:space="preserve">wypracowane pod koniec XIX-go oraz w wieku XX-tym ujęcia </w:t>
            </w:r>
            <w:r w:rsidR="00B35D96" w:rsidRPr="00803B2C">
              <w:rPr>
                <w:b w:val="0"/>
                <w:smallCaps w:val="0"/>
                <w:sz w:val="22"/>
              </w:rPr>
              <w:t>miejsc</w:t>
            </w:r>
            <w:r w:rsidR="00255B46">
              <w:rPr>
                <w:b w:val="0"/>
                <w:smallCaps w:val="0"/>
                <w:sz w:val="22"/>
              </w:rPr>
              <w:t>a</w:t>
            </w:r>
            <w:r w:rsidR="00B35D96" w:rsidRPr="00803B2C">
              <w:rPr>
                <w:b w:val="0"/>
                <w:smallCaps w:val="0"/>
                <w:sz w:val="22"/>
              </w:rPr>
              <w:t xml:space="preserve"> i znaczeni</w:t>
            </w:r>
            <w:r w:rsidR="00255B46">
              <w:rPr>
                <w:b w:val="0"/>
                <w:smallCaps w:val="0"/>
                <w:sz w:val="22"/>
              </w:rPr>
              <w:t>a</w:t>
            </w:r>
            <w:r w:rsidR="00B35D96" w:rsidRPr="00803B2C">
              <w:rPr>
                <w:b w:val="0"/>
                <w:smallCaps w:val="0"/>
                <w:sz w:val="22"/>
              </w:rPr>
              <w:t xml:space="preserve"> filozofii w relacji do nauk</w:t>
            </w:r>
            <w:r w:rsidR="00255B46">
              <w:rPr>
                <w:b w:val="0"/>
                <w:smallCaps w:val="0"/>
                <w:sz w:val="22"/>
              </w:rPr>
              <w:t>,</w:t>
            </w:r>
            <w:r w:rsidR="00B35D96" w:rsidRPr="00803B2C">
              <w:rPr>
                <w:b w:val="0"/>
                <w:smallCaps w:val="0"/>
                <w:sz w:val="22"/>
              </w:rPr>
              <w:t xml:space="preserve"> jej specyfikę przedmiotową i metodologiczną, </w:t>
            </w:r>
            <w:r w:rsidR="00255B46">
              <w:rPr>
                <w:b w:val="0"/>
                <w:smallCaps w:val="0"/>
                <w:sz w:val="22"/>
              </w:rPr>
              <w:t xml:space="preserve">współczesną </w:t>
            </w:r>
            <w:r w:rsidR="00B35D96" w:rsidRPr="00803B2C">
              <w:rPr>
                <w:b w:val="0"/>
                <w:smallCaps w:val="0"/>
                <w:sz w:val="22"/>
              </w:rPr>
              <w:t>terminologię filozoficzną w języku polskim, a w wybranym języku obcym - terminologię na poziomie podstawowym;</w:t>
            </w:r>
            <w:r w:rsidR="00255B46">
              <w:rPr>
                <w:b w:val="0"/>
                <w:smallCaps w:val="0"/>
                <w:sz w:val="22"/>
              </w:rPr>
              <w:t xml:space="preserve"> współczesne konceptualizacje</w:t>
            </w:r>
            <w:r w:rsidR="00B35D96" w:rsidRPr="00803B2C">
              <w:rPr>
                <w:b w:val="0"/>
                <w:smallCaps w:val="0"/>
                <w:sz w:val="22"/>
              </w:rPr>
              <w:t xml:space="preserve"> zależności między subdyscyplinami filozoficznymi</w:t>
            </w:r>
            <w:r w:rsidR="00255B46">
              <w:rPr>
                <w:b w:val="0"/>
                <w:smallCaps w:val="0"/>
                <w:sz w:val="22"/>
              </w:rPr>
              <w:t xml:space="preserve"> oraz</w:t>
            </w:r>
            <w:r w:rsidR="00B35D96" w:rsidRPr="00803B2C">
              <w:rPr>
                <w:b w:val="0"/>
                <w:smallCaps w:val="0"/>
                <w:sz w:val="22"/>
              </w:rPr>
              <w:t xml:space="preserve"> metody badawcze i strategie argumentacyjne właściwe dla subdyscyplin filozoficznych</w:t>
            </w:r>
            <w:r w:rsidR="00255B46">
              <w:rPr>
                <w:b w:val="0"/>
                <w:smallCaps w:val="0"/>
                <w:sz w:val="22"/>
              </w:rPr>
              <w:t xml:space="preserve"> a także</w:t>
            </w:r>
            <w:r w:rsidR="00B35D96" w:rsidRPr="00803B2C">
              <w:rPr>
                <w:b w:val="0"/>
                <w:smallCaps w:val="0"/>
                <w:sz w:val="22"/>
              </w:rPr>
              <w:t xml:space="preserve"> główne kierunki w ich obrębie; metody interpretacji tekstu filozoficznego</w:t>
            </w:r>
          </w:p>
        </w:tc>
        <w:tc>
          <w:tcPr>
            <w:tcW w:w="1865" w:type="dxa"/>
          </w:tcPr>
          <w:p w14:paraId="08590949" w14:textId="267E4C20" w:rsidR="00B35D96" w:rsidRDefault="00255B46" w:rsidP="00B35D96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  <w:p w14:paraId="5AC5EC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4BA4CFEA" w14:textId="77777777" w:rsidTr="00F512A6">
        <w:tc>
          <w:tcPr>
            <w:tcW w:w="1680" w:type="dxa"/>
          </w:tcPr>
          <w:p w14:paraId="210B1F80" w14:textId="09352ED5" w:rsidR="0085747A" w:rsidRPr="009C54AE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EK2</w:t>
            </w:r>
          </w:p>
        </w:tc>
        <w:tc>
          <w:tcPr>
            <w:tcW w:w="5975" w:type="dxa"/>
          </w:tcPr>
          <w:p w14:paraId="7A6C553F" w14:textId="3069F46A" w:rsidR="0085747A" w:rsidRPr="00255B46" w:rsidRDefault="00B35D96" w:rsidP="00255B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</w:t>
            </w:r>
            <w:r w:rsidR="00D60ACE">
              <w:rPr>
                <w:rFonts w:ascii="Times New Roman" w:hAnsi="Times New Roman"/>
              </w:rPr>
              <w:t xml:space="preserve"> -</w:t>
            </w:r>
            <w:r w:rsidR="00255B46">
              <w:rPr>
                <w:rFonts w:ascii="Times New Roman" w:hAnsi="Times New Roman"/>
              </w:rPr>
              <w:t xml:space="preserve"> </w:t>
            </w:r>
            <w:r w:rsidR="00D60ACE" w:rsidRPr="00255B46">
              <w:t>absolwent zna i rozumie</w:t>
            </w:r>
            <w:r w:rsidR="00D60ACE">
              <w:t>:</w:t>
            </w:r>
            <w:r w:rsidRPr="00803B2C">
              <w:t xml:space="preserve"> historyczne kształtowanie się idei filozoficznych, poglądy i pisma </w:t>
            </w:r>
            <w:r w:rsidR="00255B46">
              <w:t>najistotniejszych</w:t>
            </w:r>
            <w:r w:rsidR="00D60ACE">
              <w:t xml:space="preserve"> (</w:t>
            </w:r>
            <w:r w:rsidR="00255B46">
              <w:t xml:space="preserve">dla </w:t>
            </w:r>
            <w:r w:rsidR="000625B3">
              <w:t>wskazanego wyżej okresu</w:t>
            </w:r>
            <w:r w:rsidR="00D60ACE">
              <w:t>)</w:t>
            </w:r>
            <w:r w:rsidRPr="00803B2C">
              <w:t xml:space="preserve"> autorów filozoficznych, rolę refleksji filozoficznej w kształtowaniu kultury i społeczeństwa</w:t>
            </w:r>
          </w:p>
        </w:tc>
        <w:tc>
          <w:tcPr>
            <w:tcW w:w="1865" w:type="dxa"/>
          </w:tcPr>
          <w:p w14:paraId="290F510B" w14:textId="26FA9034" w:rsidR="0085747A" w:rsidRPr="000625B3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625B3">
              <w:rPr>
                <w:rFonts w:ascii="Corbel" w:hAnsi="Corbel"/>
                <w:b w:val="0"/>
                <w:bCs/>
                <w:sz w:val="20"/>
                <w:szCs w:val="20"/>
              </w:rPr>
              <w:t>K_W02</w:t>
            </w:r>
          </w:p>
        </w:tc>
      </w:tr>
      <w:tr w:rsidR="0085747A" w:rsidRPr="009C54AE" w14:paraId="0D432D66" w14:textId="77777777" w:rsidTr="00F512A6">
        <w:tc>
          <w:tcPr>
            <w:tcW w:w="1680" w:type="dxa"/>
          </w:tcPr>
          <w:p w14:paraId="0CC91156" w14:textId="6EB694DA" w:rsidR="0085747A" w:rsidRPr="009C54AE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EK3</w:t>
            </w:r>
          </w:p>
        </w:tc>
        <w:tc>
          <w:tcPr>
            <w:tcW w:w="5975" w:type="dxa"/>
          </w:tcPr>
          <w:p w14:paraId="18AAD51B" w14:textId="79064513" w:rsidR="00B35D96" w:rsidRP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</w:t>
            </w:r>
            <w:r w:rsidR="00D60ACE">
              <w:rPr>
                <w:rFonts w:ascii="Times New Roman" w:hAnsi="Times New Roman"/>
              </w:rPr>
              <w:t xml:space="preserve"> - </w:t>
            </w:r>
            <w:r w:rsidR="00D60ACE" w:rsidRPr="00255B46">
              <w:t>absolwent zna i rozumie</w:t>
            </w:r>
            <w:r w:rsidR="00D60ACE">
              <w:t>:</w:t>
            </w:r>
          </w:p>
          <w:p w14:paraId="6CBE1D82" w14:textId="72F344DE" w:rsidR="0085747A" w:rsidRPr="00803B2C" w:rsidRDefault="00B35D96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03B2C">
              <w:rPr>
                <w:b w:val="0"/>
                <w:smallCaps w:val="0"/>
                <w:sz w:val="22"/>
              </w:rPr>
              <w:t xml:space="preserve">- </w:t>
            </w:r>
            <w:r w:rsidR="000625B3">
              <w:rPr>
                <w:b w:val="0"/>
                <w:smallCaps w:val="0"/>
                <w:sz w:val="22"/>
              </w:rPr>
              <w:t xml:space="preserve">opisywane w ramach współczesnej myśli filozoficznej </w:t>
            </w:r>
            <w:r w:rsidR="008962C9">
              <w:rPr>
                <w:b w:val="0"/>
                <w:smallCaps w:val="0"/>
                <w:sz w:val="22"/>
              </w:rPr>
              <w:t xml:space="preserve">           </w:t>
            </w:r>
            <w:r w:rsidRPr="00803B2C">
              <w:rPr>
                <w:b w:val="0"/>
                <w:smallCaps w:val="0"/>
                <w:sz w:val="22"/>
              </w:rPr>
              <w:t>normy konstytuujące i regulujące struktury i instytucje społeczne</w:t>
            </w:r>
          </w:p>
        </w:tc>
        <w:tc>
          <w:tcPr>
            <w:tcW w:w="1865" w:type="dxa"/>
          </w:tcPr>
          <w:p w14:paraId="547F06FA" w14:textId="67D1745B" w:rsidR="00B35D96" w:rsidRDefault="00255B46" w:rsidP="00B35D96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K_W03</w:t>
            </w:r>
          </w:p>
          <w:p w14:paraId="283B7D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12A6" w:rsidRPr="009C54AE" w14:paraId="11E53A91" w14:textId="77777777" w:rsidTr="00107FFE">
        <w:tc>
          <w:tcPr>
            <w:tcW w:w="9520" w:type="dxa"/>
            <w:gridSpan w:val="3"/>
          </w:tcPr>
          <w:p w14:paraId="7A1DA979" w14:textId="77777777" w:rsidR="00F512A6" w:rsidRDefault="00F512A6" w:rsidP="00F512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14:paraId="6EFD990B" w14:textId="5EFB7014" w:rsidR="00F512A6" w:rsidRDefault="00F512A6" w:rsidP="00F512A6">
            <w:pPr>
              <w:jc w:val="center"/>
              <w:rPr>
                <w:rFonts w:ascii="Corbel" w:hAnsi="Corbel"/>
                <w:sz w:val="20"/>
                <w:szCs w:val="20"/>
              </w:rPr>
            </w:pPr>
            <w:r w:rsidRPr="00255B46">
              <w:rPr>
                <w:rFonts w:ascii="Times New Roman" w:hAnsi="Times New Roman"/>
              </w:rPr>
              <w:t>Umiejętności: absolwent potrafi</w:t>
            </w:r>
          </w:p>
        </w:tc>
      </w:tr>
      <w:tr w:rsidR="00B35D96" w:rsidRPr="009C54AE" w14:paraId="42E333F8" w14:textId="77777777" w:rsidTr="00F512A6">
        <w:tc>
          <w:tcPr>
            <w:tcW w:w="1680" w:type="dxa"/>
          </w:tcPr>
          <w:p w14:paraId="65315288" w14:textId="75F00976" w:rsidR="00B35D96" w:rsidRPr="009C54AE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EK4</w:t>
            </w:r>
          </w:p>
        </w:tc>
        <w:tc>
          <w:tcPr>
            <w:tcW w:w="5975" w:type="dxa"/>
          </w:tcPr>
          <w:p w14:paraId="30381941" w14:textId="232900B8" w:rsidR="00B35D96" w:rsidRPr="00803B2C" w:rsidRDefault="00D60ACE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5B46">
              <w:rPr>
                <w:rFonts w:ascii="Times New Roman" w:hAnsi="Times New Roman"/>
              </w:rPr>
              <w:t>absolwent potrafi</w:t>
            </w:r>
            <w:r w:rsidR="00803B2C" w:rsidRPr="00803B2C">
              <w:rPr>
                <w:rFonts w:ascii="Times New Roman" w:hAnsi="Times New Roman"/>
              </w:rPr>
              <w:t xml:space="preserve"> poprawnie stosować </w:t>
            </w:r>
            <w:r w:rsidR="004F3BC9">
              <w:rPr>
                <w:rFonts w:ascii="Times New Roman" w:hAnsi="Times New Roman"/>
              </w:rPr>
              <w:t xml:space="preserve">właściwą dla filozofii współczesnej </w:t>
            </w:r>
            <w:r w:rsidR="00803B2C" w:rsidRPr="00803B2C">
              <w:rPr>
                <w:rFonts w:ascii="Times New Roman" w:hAnsi="Times New Roman"/>
              </w:rPr>
              <w:t>terminologię filozoficzną, formułować problemy, tezy, własne poglądy; dobierać i stosować właściwe metody i narzędzia;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65" w:type="dxa"/>
          </w:tcPr>
          <w:p w14:paraId="732D9107" w14:textId="149E53D8" w:rsidR="00803B2C" w:rsidRDefault="00255B46" w:rsidP="00803B2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  <w:p w14:paraId="36219F26" w14:textId="77777777" w:rsidR="00B35D96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14:paraId="12C98F60" w14:textId="77777777" w:rsidTr="00F512A6">
        <w:tc>
          <w:tcPr>
            <w:tcW w:w="1680" w:type="dxa"/>
          </w:tcPr>
          <w:p w14:paraId="214D8FA8" w14:textId="585FAC46" w:rsidR="00803B2C" w:rsidRPr="009C54AE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EK5</w:t>
            </w:r>
          </w:p>
        </w:tc>
        <w:tc>
          <w:tcPr>
            <w:tcW w:w="5975" w:type="dxa"/>
          </w:tcPr>
          <w:p w14:paraId="31EE24A4" w14:textId="207B471C" w:rsidR="00803B2C" w:rsidRDefault="00D60ACE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5B46">
              <w:rPr>
                <w:rFonts w:ascii="Times New Roman" w:hAnsi="Times New Roman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  <w:r w:rsidR="00803B2C">
              <w:rPr>
                <w:rFonts w:ascii="Times New Roman" w:hAnsi="Times New Roman"/>
              </w:rPr>
              <w:t>rozpoznawać</w:t>
            </w:r>
            <w:r w:rsidR="005C550D">
              <w:rPr>
                <w:rFonts w:ascii="Times New Roman" w:hAnsi="Times New Roman"/>
              </w:rPr>
              <w:t xml:space="preserve"> we współczesnej myśli filozoficznej</w:t>
            </w:r>
            <w:r w:rsidR="00803B2C">
              <w:rPr>
                <w:rFonts w:ascii="Times New Roman" w:hAnsi="Times New Roman"/>
              </w:rPr>
              <w:t xml:space="preserve"> odmienne stanowiska światopoglądowe i wyobrażenia kulturowe na poziomie umożliwiającym dialog między nimi; stosować typowe</w:t>
            </w:r>
            <w:r w:rsidR="005C550D">
              <w:rPr>
                <w:rFonts w:ascii="Times New Roman" w:hAnsi="Times New Roman"/>
              </w:rPr>
              <w:t xml:space="preserve"> współczesne</w:t>
            </w:r>
            <w:r w:rsidR="00803B2C">
              <w:rPr>
                <w:rFonts w:ascii="Times New Roman" w:hAnsi="Times New Roman"/>
              </w:rPr>
              <w:t xml:space="preserve">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</w:tc>
        <w:tc>
          <w:tcPr>
            <w:tcW w:w="1865" w:type="dxa"/>
          </w:tcPr>
          <w:p w14:paraId="1800670C" w14:textId="77F8373F" w:rsidR="00803B2C" w:rsidRDefault="00255B46" w:rsidP="00803B2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  <w:p w14:paraId="627DE510" w14:textId="77777777"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14:paraId="31156554" w14:textId="77777777" w:rsidTr="00F512A6">
        <w:tc>
          <w:tcPr>
            <w:tcW w:w="1680" w:type="dxa"/>
          </w:tcPr>
          <w:p w14:paraId="598E1351" w14:textId="185F1E11" w:rsidR="00803B2C" w:rsidRPr="009C54AE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EK6</w:t>
            </w:r>
          </w:p>
        </w:tc>
        <w:tc>
          <w:tcPr>
            <w:tcW w:w="5975" w:type="dxa"/>
          </w:tcPr>
          <w:p w14:paraId="3A87E22B" w14:textId="4B162663" w:rsidR="00803B2C" w:rsidRPr="00803B2C" w:rsidRDefault="00D60ACE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5B46">
              <w:rPr>
                <w:rFonts w:ascii="Times New Roman" w:hAnsi="Times New Roman"/>
              </w:rPr>
              <w:t>absolwent potrafi</w:t>
            </w:r>
            <w:r w:rsidR="00803B2C" w:rsidRPr="00803B2C">
              <w:rPr>
                <w:rFonts w:ascii="Times New Roman" w:hAnsi="Times New Roman"/>
              </w:rPr>
              <w:t xml:space="preserve"> samodzielnie zdobywać wiedzę</w:t>
            </w:r>
          </w:p>
        </w:tc>
        <w:tc>
          <w:tcPr>
            <w:tcW w:w="1865" w:type="dxa"/>
          </w:tcPr>
          <w:p w14:paraId="09FC5A00" w14:textId="2FA51614" w:rsidR="00803B2C" w:rsidRPr="00F512A6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12A6">
              <w:rPr>
                <w:rFonts w:ascii="Corbel" w:hAnsi="Corbel"/>
                <w:b w:val="0"/>
                <w:bCs/>
                <w:sz w:val="20"/>
                <w:szCs w:val="20"/>
              </w:rPr>
              <w:t>K_U04</w:t>
            </w:r>
          </w:p>
        </w:tc>
      </w:tr>
      <w:tr w:rsidR="00F512A6" w:rsidRPr="009C54AE" w14:paraId="417C2659" w14:textId="77777777" w:rsidTr="00563902">
        <w:tc>
          <w:tcPr>
            <w:tcW w:w="9520" w:type="dxa"/>
            <w:gridSpan w:val="3"/>
          </w:tcPr>
          <w:p w14:paraId="4BACDBE1" w14:textId="410B13CF" w:rsidR="00F512A6" w:rsidRPr="00F512A6" w:rsidRDefault="00F512A6" w:rsidP="00F512A6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F512A6">
              <w:rPr>
                <w:b w:val="0"/>
                <w:smallCaps w:val="0"/>
                <w:sz w:val="22"/>
              </w:rPr>
              <w:t xml:space="preserve">Kompetencje społeczne: </w:t>
            </w:r>
          </w:p>
        </w:tc>
      </w:tr>
      <w:tr w:rsidR="00803B2C" w:rsidRPr="009C54AE" w14:paraId="66CFF923" w14:textId="77777777" w:rsidTr="00F512A6">
        <w:tc>
          <w:tcPr>
            <w:tcW w:w="1680" w:type="dxa"/>
          </w:tcPr>
          <w:p w14:paraId="1CDD0B41" w14:textId="742B11BD" w:rsidR="00803B2C" w:rsidRPr="009C54AE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EK7</w:t>
            </w:r>
          </w:p>
        </w:tc>
        <w:tc>
          <w:tcPr>
            <w:tcW w:w="5975" w:type="dxa"/>
          </w:tcPr>
          <w:p w14:paraId="670577E1" w14:textId="7A16F04A" w:rsidR="00803B2C" w:rsidRPr="002F042A" w:rsidRDefault="00D60ACE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512A6">
              <w:t>absolwent jest gotów do:</w:t>
            </w:r>
            <w:r w:rsidR="00803B2C">
              <w:rPr>
                <w:rFonts w:ascii="Times New Roman" w:hAnsi="Times New Roman"/>
              </w:rPr>
              <w:t xml:space="preserve">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65" w:type="dxa"/>
          </w:tcPr>
          <w:p w14:paraId="57D4E694" w14:textId="7D33BAF1" w:rsidR="00803B2C" w:rsidRDefault="00255B46" w:rsidP="00803B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  <w:p w14:paraId="1D9E8E90" w14:textId="77777777"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14:paraId="75C605DC" w14:textId="77777777" w:rsidTr="00F512A6">
        <w:tc>
          <w:tcPr>
            <w:tcW w:w="1680" w:type="dxa"/>
          </w:tcPr>
          <w:p w14:paraId="539590DA" w14:textId="7CEDF7CE" w:rsidR="00803B2C" w:rsidRPr="009C54AE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EK8</w:t>
            </w:r>
          </w:p>
        </w:tc>
        <w:tc>
          <w:tcPr>
            <w:tcW w:w="5975" w:type="dxa"/>
          </w:tcPr>
          <w:p w14:paraId="2BE2CC92" w14:textId="617B4804" w:rsidR="00803B2C" w:rsidRDefault="001D2AAA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512A6">
              <w:t>absolwent jest gotów do:</w:t>
            </w:r>
            <w:r w:rsidR="00803B2C">
              <w:rPr>
                <w:rFonts w:ascii="Times New Roman" w:hAnsi="Times New Roman"/>
              </w:rPr>
              <w:t xml:space="preserve"> działań na rzecz zachowania dziedzictwa filozoficznego i brania odpowiedzialności za trafność przekazywanej wiedzy; </w:t>
            </w:r>
            <w:r w:rsidR="00803B2C" w:rsidRPr="002F042A">
              <w:rPr>
                <w:rFonts w:ascii="Times New Roman" w:hAnsi="Times New Roman"/>
              </w:rPr>
              <w:t>ciągłego dokształcania</w:t>
            </w:r>
            <w:r w:rsidR="00803B2C">
              <w:rPr>
                <w:rFonts w:ascii="Times New Roman" w:hAnsi="Times New Roman"/>
              </w:rPr>
              <w:t xml:space="preserve"> i rozwoju zawodowego</w:t>
            </w:r>
          </w:p>
        </w:tc>
        <w:tc>
          <w:tcPr>
            <w:tcW w:w="1865" w:type="dxa"/>
          </w:tcPr>
          <w:p w14:paraId="36CEBA8E" w14:textId="0C2574EF" w:rsidR="00803B2C" w:rsidRDefault="00255B46" w:rsidP="00803B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  <w:p w14:paraId="33D7B84C" w14:textId="77777777"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8DBC9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C8420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79B146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36AED9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BD1F16" w14:textId="77777777" w:rsidTr="00803B2C">
        <w:tc>
          <w:tcPr>
            <w:tcW w:w="9639" w:type="dxa"/>
          </w:tcPr>
          <w:p w14:paraId="582A885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3B2C" w14:paraId="2C7AEABA" w14:textId="77777777" w:rsidTr="00803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72A5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Główne problemy filozofii współczesnej;</w:t>
            </w:r>
          </w:p>
          <w:p w14:paraId="2E611443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W. Dilthey: problem nauk humanistycznych, kultura jako obiektywizacja życia, hermeneutyka jako podstawowa metoda nauk o duchu, rozumienie a wyjaśnianie, problem historyzmu;</w:t>
            </w:r>
          </w:p>
          <w:p w14:paraId="5D530C87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F. Nietzsche: charakterystyka i genealogia nihilizmu, krytyka metafizyki (platonizmu) i religii chrześcijańskiej, genealogia i krytyka moralności, koncepcja dekadencji i resentymentu, krytyka prawdy, pozytywne idee filozofii Nietschego (wola mocy, </w:t>
            </w:r>
            <w:r w:rsidRPr="001D2AAA">
              <w:rPr>
                <w:i/>
                <w:iCs/>
              </w:rPr>
              <w:t>amor fati</w:t>
            </w:r>
            <w:r>
              <w:t>, wieczny powrót), problem nadczłowieka, idea końca filozofii;</w:t>
            </w:r>
          </w:p>
          <w:p w14:paraId="56148E1A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H. Bergson: wolność a determinizm naukowy; czas fizykalny a trwanie metafizyczne, problem psychofizyczny, procesualizm, wiedza intelektualna a intuicja, metafizyka a nauki empiryczne, </w:t>
            </w:r>
            <w:r w:rsidRPr="001D2AAA">
              <w:rPr>
                <w:i/>
                <w:iCs/>
              </w:rPr>
              <w:t>elan vital</w:t>
            </w:r>
            <w:r>
              <w:t xml:space="preserve"> i ewolucja twórcza, źródła moralności, dwa typy religii;</w:t>
            </w:r>
          </w:p>
          <w:p w14:paraId="6D9C6D55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neokantyzm i jego wersje;</w:t>
            </w:r>
          </w:p>
          <w:p w14:paraId="251B59AE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lastRenderedPageBreak/>
              <w:t>- pragmatyzm W. Jamesa: Ch. Peirce jako inspirator pragmatyzmu, krytyka racjonalizmu i empiryzm radykalny, pragmatyczna metoda i koncepcja prawdy, pluralizm doświadczenia, pragmatystyczna filozofia religii;</w:t>
            </w:r>
          </w:p>
          <w:p w14:paraId="254C2F2C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instrumentalizm J. Deweya: myślenie jako proces praktyczny, naturalizm i empiryzm, instrumentalistyczna interpretacja wiedzy, pragmatystyczna filozofia wartości, obrona demokracji, pragmatystyczne idee w filozofii edukacji;</w:t>
            </w:r>
          </w:p>
          <w:p w14:paraId="76BA5EFB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Z. Freud: psychoanalityczna koncepcja człowieka i kultury;</w:t>
            </w:r>
          </w:p>
          <w:p w14:paraId="66DAC5A2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E. Fromm: człowiek i społeczeństwo w świetle psychoanalizy kulturalistycznej;</w:t>
            </w:r>
          </w:p>
          <w:p w14:paraId="71DCBAD4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E. Husserl: krytyka psychologizmu, idea fenomenologii jako filozofii pierwszej, koncepcja metody (redukcji transcendentalnej i ejdetycznej), problematyczne kwestie fenomenologii (ego transcendentalne, problem intersubiektywności, problem konstytucji sensu, kwestia idealizmu subiektywnego);</w:t>
            </w:r>
          </w:p>
          <w:p w14:paraId="3BF85532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M. Scheler: fenomenologiczna koncepcja wiedzy; materialna etyka wartości, antropologia filozoficzna;</w:t>
            </w:r>
          </w:p>
          <w:p w14:paraId="40E93482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N. Hartmann: idea ontologii krytycznej, metafizyka poznania, struktura bytu i prawa bytowe, koncepcja ducha, wolność w warstwowej budowie bytu realnego,  wolność wobec wartości idealnych, swoistość bytu ludzkiego.</w:t>
            </w:r>
          </w:p>
          <w:p w14:paraId="4D9034CB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Kierkegaard jako prekursor egzystencjalizmu;</w:t>
            </w:r>
          </w:p>
          <w:p w14:paraId="30463A38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M. Heidegger: idea ontologii fundamentalnej (problem Bycia i hermeneutyczna modyfikacja metody fenomenologicznej), </w:t>
            </w:r>
            <w:r>
              <w:rPr>
                <w:i/>
              </w:rPr>
              <w:t>Dasein</w:t>
            </w:r>
            <w:r>
              <w:t xml:space="preserve"> jako egzystencja, charakterystyka egzystencjałów, prawda jako </w:t>
            </w:r>
            <w:r>
              <w:rPr>
                <w:i/>
              </w:rPr>
              <w:t>aletheia</w:t>
            </w:r>
            <w:r>
              <w:t>, stosunek Heideggera do metafizyki, synteza egzystencjalizmu z hermeneutyką.</w:t>
            </w:r>
          </w:p>
          <w:p w14:paraId="11345475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K. Jaspers: odróżnienie filozofii od nauk empirycznych, filozofia jako samorozumienie się człowieka („rozjaśnianie egzystencji”), relacja między egzystencją a transcendencją, człowiek jako „egzystencja możliwa”, wiara filozoficzna i szyfry transcendencji, rodzaje „wszechobejmującego”, znaczenie rozumu dla egzystencji.</w:t>
            </w:r>
          </w:p>
          <w:p w14:paraId="1F98C560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J. P. Sartre: dwa rodzaje bytu (byt w sobie i byt dla siebie), fenomenologia i ontologia bytu dla siebie, świadomość jako nicość podstawą wolności absolutnej, dowody na nieistnienie Boga, wartości jako wytwory wolności, człowiek jako „daremna pasja”.</w:t>
            </w:r>
          </w:p>
          <w:p w14:paraId="42D8C88B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F. H. Bradley: analiza problemów filozoficznych w perspektywie idealizmu absolutnego;</w:t>
            </w:r>
          </w:p>
          <w:p w14:paraId="11926014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L. Wittgenstein: język i świat w „Traktacie logiczno-filozoficznym”, kryterium sensowności zdań i jego paradoksy, koncepcja filozofii i jej aporie, podmiot i „to, co mistyczne”, koncepcja języka w „Dociekaniach filozoficznych”, prymat pragmatyki nad semantyką, aporie krytyki filozofii.</w:t>
            </w:r>
          </w:p>
          <w:p w14:paraId="377CA21A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Neopozytywizm: problem demarkacji między nauką a metafizyką, sens empiryzmu logicznego, fizykalizm, filozofia jako logiczna analiza języka, emotywizm w etyce.</w:t>
            </w:r>
          </w:p>
          <w:p w14:paraId="43639A2F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Filozofia hermeneutyczna H-G. Gadamera i P. Ricoeura;</w:t>
            </w:r>
          </w:p>
          <w:p w14:paraId="5F1ED5A3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A. N. Whitehead: metafizyka procesu (szkic);</w:t>
            </w:r>
          </w:p>
          <w:p w14:paraId="3CF6C2E1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Kierunki badawcze w filozofii analitycznej: problem języka, problem moralności, problem religii, problem umysłu, zagadnienia metafizyczne.</w:t>
            </w:r>
          </w:p>
          <w:p w14:paraId="619F0475" w14:textId="77777777" w:rsidR="00803B2C" w:rsidRDefault="00803B2C" w:rsidP="00D93AEC">
            <w:pPr>
              <w:pStyle w:val="Akapitzlist"/>
              <w:spacing w:after="0" w:line="240" w:lineRule="auto"/>
              <w:ind w:left="0"/>
              <w:jc w:val="center"/>
            </w:pPr>
            <w:r>
              <w:t>- Filozofia postmodernizmu: metafizyka jako metanarracja, „rozum” jako pojęcie ideologiczne, język jako „skrzynka z narzędziami” (pluralizm dyskursów), krytyka idei prawdy,  podmiot jako wielość sił (krytyka autonomii i tożsamości podmiotu), prymat estetyki nad moralnością, demokratyzacja i estetyzacja życia przeciwko „logocentryzmowi” filozofii.</w:t>
            </w:r>
          </w:p>
        </w:tc>
      </w:tr>
      <w:tr w:rsidR="0085747A" w:rsidRPr="009C54AE" w14:paraId="40FE523A" w14:textId="77777777" w:rsidTr="00803B2C">
        <w:tc>
          <w:tcPr>
            <w:tcW w:w="9639" w:type="dxa"/>
          </w:tcPr>
          <w:p w14:paraId="028B9C7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EBF9FEA" w14:textId="77777777" w:rsidTr="00803B2C">
        <w:tc>
          <w:tcPr>
            <w:tcW w:w="9639" w:type="dxa"/>
          </w:tcPr>
          <w:p w14:paraId="77A5627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2345D07" w14:textId="77777777" w:rsidTr="00803B2C">
        <w:tc>
          <w:tcPr>
            <w:tcW w:w="9639" w:type="dxa"/>
          </w:tcPr>
          <w:p w14:paraId="3866937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DE1A7B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ECE17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E9269F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262" w:type="dxa"/>
        <w:tblInd w:w="-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9"/>
        <w:gridCol w:w="1493"/>
      </w:tblGrid>
      <w:tr w:rsidR="00803B2C" w14:paraId="1C4F1C12" w14:textId="77777777" w:rsidTr="00803B2C">
        <w:tc>
          <w:tcPr>
            <w:tcW w:w="92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43D5" w14:textId="77777777" w:rsidR="00803B2C" w:rsidRDefault="00803B2C" w:rsidP="00D93AEC">
            <w:pPr>
              <w:pStyle w:val="Standard"/>
              <w:snapToGrid w:val="0"/>
            </w:pPr>
            <w:r>
              <w:t>Treści merytoryczne</w:t>
            </w:r>
          </w:p>
        </w:tc>
      </w:tr>
      <w:tr w:rsidR="00803B2C" w14:paraId="670331AD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A247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Wprowadzenie do filozofii XX wieku</w:t>
            </w:r>
          </w:p>
          <w:p w14:paraId="41023910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Kultura europejska i jej dziedziny; periodyzacja dziejów w ramach poszczególnych dziedzin kultury; współczesność w filozofii i jej wyróżniki; kryzys racjonalizmu i próby jego przezwyciężenia; filozofia życia, pragmatyzm i neopragmatyzm jako próby opisu rzeczywistości bez odwołania się do kartezjańskiego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ratio</w:t>
            </w:r>
            <w:r>
              <w:rPr>
                <w:rFonts w:ascii="Times New Roman" w:hAnsi="Times New Roman" w:cs="Times New Roman"/>
                <w:lang w:eastAsia="en-US"/>
              </w:rPr>
              <w:t>; irracjonalizacja kultur i jej symptomy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E84B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2 godz.</w:t>
            </w:r>
          </w:p>
        </w:tc>
      </w:tr>
      <w:tr w:rsidR="00803B2C" w14:paraId="6259038C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5AF0A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Fryderyk Nietzsche</w:t>
            </w:r>
          </w:p>
          <w:p w14:paraId="0968C969" w14:textId="5357A2FC" w:rsidR="00803B2C" w:rsidRDefault="00803B2C" w:rsidP="00D93AEC">
            <w:pPr>
              <w:pStyle w:val="Textbody"/>
              <w:snapToGrid w:val="0"/>
            </w:pPr>
            <w:r>
              <w:rPr>
                <w:rFonts w:ascii="Times New Roman" w:hAnsi="Times New Roman" w:cs="Times New Roman"/>
                <w:lang w:eastAsia="en-US"/>
              </w:rPr>
              <w:t xml:space="preserve">Kategoria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życia</w:t>
            </w:r>
            <w:r>
              <w:rPr>
                <w:rFonts w:ascii="Times New Roman" w:hAnsi="Times New Roman" w:cs="Times New Roman"/>
                <w:lang w:eastAsia="en-US"/>
              </w:rPr>
              <w:t xml:space="preserve"> oraz kategoria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woli ku mocy</w:t>
            </w:r>
            <w:r>
              <w:rPr>
                <w:rFonts w:ascii="Times New Roman" w:hAnsi="Times New Roman" w:cs="Times New Roman"/>
                <w:lang w:eastAsia="en-US"/>
              </w:rPr>
              <w:t>, obrazowa sztuka apollińska a nieobrazowa dyonizyjska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sztuka muzyki, ludzie silni a ludzie słabi oraz właściwa im moralność i kultura przez nich tworzona, krytyka poznania, ocena działalności Sokratesa, krytyka metafizyki, </w:t>
            </w:r>
            <w:r w:rsidR="00255B46">
              <w:rPr>
                <w:rFonts w:ascii="Times New Roman" w:hAnsi="Times New Roman" w:cs="Times New Roman"/>
                <w:lang w:eastAsia="en-US"/>
              </w:rPr>
              <w:t>k</w:t>
            </w:r>
            <w:r>
              <w:rPr>
                <w:rFonts w:ascii="Times New Roman" w:hAnsi="Times New Roman" w:cs="Times New Roman"/>
                <w:lang w:eastAsia="en-US"/>
              </w:rPr>
              <w:t>ategoria resentymentu, śmierć Boga a nihilizm, przewartościowanie wartości, idea nadczłowieka, filozofia jako mit, wieczny powrót, Nietzsche jako myśliciel metafizyczny w ujęciu M. Heideggera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6C28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5E7015F8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FF39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Wilhelm Dilthey</w:t>
            </w:r>
          </w:p>
          <w:p w14:paraId="2AF0D1F9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Psychologia analityczno-opisowa a teoria poznania, świadomość historyczna, koncepcja filozofii, teoria światopoglądów, nauki przyrodnicze a nauki humanistyczne, hermeneutyka jako teoria sztuki rozumienia, koło hermeneutyczne, wykładnia (interpretacja), życie i jego kategorie (przeżycie, znaczenie, ważność, układ) jako podstawa opisu i wyjaśniania rzeczywistości, rozumienie i jego form jako „odnajdywanie się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ja</w:t>
            </w:r>
            <w:r>
              <w:rPr>
                <w:rFonts w:ascii="Times New Roman" w:hAnsi="Times New Roman" w:cs="Times New Roman"/>
                <w:lang w:eastAsia="en-US"/>
              </w:rPr>
              <w:t xml:space="preserve"> w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ty</w:t>
            </w:r>
            <w:r>
              <w:rPr>
                <w:rFonts w:ascii="Times New Roman" w:hAnsi="Times New Roman" w:cs="Times New Roman"/>
                <w:lang w:eastAsia="en-US"/>
              </w:rPr>
              <w:t>”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413FF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72DE76F5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C083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Henri Bergson</w:t>
            </w:r>
          </w:p>
          <w:p w14:paraId="7D7106E7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Ewolucja twórcza, </w:t>
            </w:r>
            <w:r>
              <w:rPr>
                <w:rFonts w:ascii="Times New Roman" w:hAnsi="Times New Roman" w:cs="Times New Roman"/>
                <w:i/>
                <w:lang w:eastAsia="en-US"/>
              </w:rPr>
              <w:t xml:space="preserve">elan vital, </w:t>
            </w:r>
            <w:r>
              <w:rPr>
                <w:rFonts w:ascii="Times New Roman" w:hAnsi="Times New Roman" w:cs="Times New Roman"/>
                <w:lang w:eastAsia="en-US"/>
              </w:rPr>
              <w:t>porządek przyrody a forma umysłu; intuicja i instynkt, jaźń powierzchowna i jaźń głęboka, dusza a ciało, wrażenia a wyobrażenia, czas i przestrzeń, dwa źródła moralności; religia statyczna i religia dynamiczna.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B74A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64B29B2D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968E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Sigmund Freud</w:t>
            </w:r>
          </w:p>
          <w:p w14:paraId="554AA1AC" w14:textId="77777777" w:rsidR="00803B2C" w:rsidRDefault="00803B2C" w:rsidP="00D93AEC">
            <w:pPr>
              <w:pStyle w:val="Textbody"/>
              <w:snapToGrid w:val="0"/>
            </w:pPr>
            <w:r>
              <w:rPr>
                <w:rFonts w:ascii="Times New Roman" w:hAnsi="Times New Roman" w:cs="Times New Roman"/>
                <w:lang w:eastAsia="en-US"/>
              </w:rPr>
              <w:t>Psychologia a problem nieświadomości, koncepcja człowieka (struktura i dynamika osobowości), popędy i ich cechy (źródło, cel, przedmiot, siła), popędy życia i popędy śmierci, kateksja i antykateksja, przemieszczenie, sublimacja, identyfikacja, lęk i jego rodzaje, wyparcie, projekcja, stadia rozwoju osobowości, fiksacja i regresja, psychoanaliza (czynności pomyłkowe, kompleksy, nerwice, marzenia senne – ich rola i znaczenie); koncepcja kultury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2664" w14:textId="7178FBC1" w:rsidR="00803B2C" w:rsidRDefault="000C4936" w:rsidP="00D93AEC">
            <w:pPr>
              <w:pStyle w:val="Standard"/>
              <w:snapToGrid w:val="0"/>
              <w:jc w:val="center"/>
            </w:pPr>
            <w:r>
              <w:t>4</w:t>
            </w:r>
            <w:r w:rsidR="00803B2C">
              <w:t xml:space="preserve"> godz.</w:t>
            </w:r>
          </w:p>
        </w:tc>
      </w:tr>
      <w:tr w:rsidR="00803B2C" w14:paraId="5798280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E6D0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Neokantyzm</w:t>
            </w:r>
          </w:p>
          <w:p w14:paraId="6B5E8EC1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b/>
                <w:lang w:eastAsia="en-US"/>
              </w:rPr>
              <w:t>Neokantyzm marburski:</w:t>
            </w:r>
            <w:r>
              <w:rPr>
                <w:rFonts w:ascii="Times New Roman" w:hAnsi="Times New Roman" w:cs="Times New Roman"/>
                <w:lang w:eastAsia="en-US"/>
              </w:rPr>
              <w:t xml:space="preserve"> Charakterystyka szkoły (podstawowe założenia i poglądy), interpretacje myśli Kanta, mankamenty teorii Kanta, problem rzeczy samej w sobie, doświadczenie a rzeczywistość, wrażenia i ich rola, pojęcie „świadomości w ogóle”, życie i dzieło E. Cassirera, koncepcja człowieka, krytyka teorii obicia, czas i przestrzeń, kultura a formy symboliczne, symbol jako tworzywo kultury, język, mit, sztuka, historia, nauka i ich wzajemne relację.</w:t>
            </w:r>
          </w:p>
          <w:p w14:paraId="2597701C" w14:textId="6D567D48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b/>
                <w:lang w:eastAsia="en-US"/>
              </w:rPr>
              <w:t>Neokantyzm badeński: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Sytuacja i przedmiot filozofii w ujęciu Windelbanda, prawda jako to, o powinno być pomyślane, podział nauk szczegółowych, zadania filozofii w ujęciu Rickerta, teoria poznania - jej cele i drogi ich realizacji, teoria trzech królestw, koncepcja podmiotu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AE86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5CE3439D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EDEA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Edmund Husserl</w:t>
            </w:r>
          </w:p>
          <w:p w14:paraId="0667DB2A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Stadia rozwojowe myśli Husserla, koncepcja filozofii jako ścisłej nauki (strenge Wissenschaft), warunki poznania apodyktycznego, krytyka psychologizmu, historyzmu i naturalizmu, idea powrotu do rzeczy samych, redukcja transcendentalna, problem „czystej świadomości”, redukcja eidetyczna, zasada wszelkich zasad, problem konstytucji, problem intersubiektywności,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Lebenswelt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93BB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4 godz.</w:t>
            </w:r>
          </w:p>
        </w:tc>
      </w:tr>
      <w:tr w:rsidR="00803B2C" w14:paraId="4AA6B1D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D506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Ludwig Wittgenstein</w:t>
            </w:r>
          </w:p>
          <w:p w14:paraId="15EA0BBE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Ontologia Traktatu logiczno-filozoficznego i jego podstawowe pytanie, funkcja zdań, myśl a język, atomizm, przestrzeń logiczna, milczenie, pojęcie gry językowej, „podobieństwa rodzinne”, język jako narzędzie, problem znaczeń, stosunek do logiki, filozofii i metafizyki.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3337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231B05D1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CF1C" w14:textId="77777777" w:rsidR="00803B2C" w:rsidRDefault="00803B2C" w:rsidP="00D93AEC">
            <w:pPr>
              <w:pStyle w:val="Textbody"/>
              <w:snapToGrid w:val="0"/>
            </w:pPr>
            <w:r>
              <w:rPr>
                <w:b/>
                <w:lang w:eastAsia="en-US"/>
              </w:rPr>
              <w:t>Max Scheler</w:t>
            </w:r>
          </w:p>
          <w:p w14:paraId="787359FB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podmiotu aksjologicznego; koncepcja wartości; iluzje aksjologiczne; koncepcja człowieka; koncepcja filozofii; wzlot; teoria światopoglądów; miłość i nienawiść; krytyka nietzscheańskiej wizji chrześcijaństwa jako resentymentu; antropologia i jej ujęcia; rozum i duch; Bóg; etyka formalna a etyka materialna.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F947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1A5741A0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E17D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Nikolai Hartmann</w:t>
            </w:r>
          </w:p>
          <w:p w14:paraId="42696BF3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Myślenie systemowe a myślenie systematyczne, metafizyka, ontologia a teoria poznania, koncepcja świata realnego, koncepcja bytu duchowego, teoria wartości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2690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5EFD857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4C67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Martin Heidegger</w:t>
            </w:r>
          </w:p>
          <w:p w14:paraId="01E8C484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Ontologiczne ugruntowanie filozofii, podstawowe kategorie filozofii Heideggera, fenomenologia jako hermeneutyka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Dasein,</w:t>
            </w:r>
            <w:r>
              <w:rPr>
                <w:rFonts w:ascii="Times New Roman" w:hAnsi="Times New Roman" w:cs="Times New Roman"/>
                <w:lang w:eastAsia="en-US"/>
              </w:rPr>
              <w:t xml:space="preserve"> koncepcja człowieka a zagadnienie egzystencji i egzystencjaliów, człowiek jako „byt ku” a kwestia codzienności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BF2A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23393672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7449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Jen Paul Sartre</w:t>
            </w:r>
          </w:p>
          <w:p w14:paraId="0FD7DBA1" w14:textId="77777777" w:rsidR="00803B2C" w:rsidRDefault="00803B2C" w:rsidP="00D93AEC">
            <w:pPr>
              <w:pStyle w:val="Textbody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Egzystencja, wolność i wybór; „zła wiara”, autokreacja, byt w sobie i byt dla siebie, nicość, człowiek wobec absurdu, niepokój, dola człowieka, ateizm, ja – inny, egzystencjalizm a humanizm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716C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1D1C689E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70B4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Karl Jaspers</w:t>
            </w:r>
          </w:p>
          <w:p w14:paraId="10F29990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Stosunek do religii, koncepcja filozofii oraz relacje łączące filozofię z nauką, egzystencja, sytuacje graniczne, możliwość i granice poznania, Ogarniające i jego rodzaje, koncepcja Boga i świata, szyfry transcendencji, problem wolności i Boga, problem dobra i zła; człowiek a historia, strukturalizacja dziejów.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D991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55F07709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402D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Emmanuel Mounier</w:t>
            </w:r>
          </w:p>
          <w:p w14:paraId="4D38E2D3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filozofii, personalizm w ujęciu Mouniera, pojęcie osoby, typy relacji międzyludzkich, Herkules i Narcyz a problem alienacji, warunki realizacji personalizmu.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2A8BF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3C79BADE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7156" w14:textId="77777777" w:rsidR="00803B2C" w:rsidRDefault="00803B2C" w:rsidP="00D93AEC">
            <w:pPr>
              <w:pStyle w:val="Textbody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John Rawls</w:t>
            </w:r>
          </w:p>
          <w:p w14:paraId="55EF9448" w14:textId="77777777" w:rsidR="00803B2C" w:rsidRDefault="00803B2C" w:rsidP="00D93AEC">
            <w:pPr>
              <w:pStyle w:val="Textbody"/>
              <w:rPr>
                <w:lang w:eastAsia="en-US"/>
              </w:rPr>
            </w:pPr>
            <w:r>
              <w:rPr>
                <w:lang w:eastAsia="en-US"/>
              </w:rPr>
              <w:t>Teoria sprawiedliwości: przedmiot i rola sprawiedliwości, poczucie sprawiedliwości, zasady sprawiedliwości, sytuacja pierwotna, dystrybucja, wolność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7628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6924E565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A46D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Robert Nozick</w:t>
            </w:r>
          </w:p>
          <w:p w14:paraId="716AB1E7" w14:textId="77777777" w:rsidR="00803B2C" w:rsidRDefault="00803B2C" w:rsidP="00D93AEC">
            <w:pPr>
              <w:pStyle w:val="Textbody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Stan natury, państwo, jego rola i mechanizmy powstawania, Legalistyczna teoria sprawiedliwości, utopia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CFA0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2 godz.</w:t>
            </w:r>
          </w:p>
        </w:tc>
      </w:tr>
      <w:tr w:rsidR="00803B2C" w14:paraId="46437A0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3D57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Pragmatyzm</w:t>
            </w:r>
          </w:p>
          <w:p w14:paraId="441B10CA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S. Peirce i jego koncepcja prawdy, fallibilizm, teoria znaczenia, abdukcja, podział nauk. Prawda w ujęciu W. Jamesa, radykalny empiryzm, pragmatyzm a metafizyka, prawo do wiary, Instrumentalizm J. Deweya, koncepcja doświadczenia, etyka, cele edukacji i wychowania.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FB95" w14:textId="6DA7B35F" w:rsidR="00803B2C" w:rsidRDefault="000C4936" w:rsidP="00D93AEC">
            <w:pPr>
              <w:pStyle w:val="Standard"/>
              <w:snapToGrid w:val="0"/>
              <w:jc w:val="center"/>
            </w:pPr>
            <w:r>
              <w:t>2</w:t>
            </w:r>
            <w:r w:rsidR="00803B2C">
              <w:t xml:space="preserve"> godz.</w:t>
            </w:r>
          </w:p>
        </w:tc>
      </w:tr>
      <w:tr w:rsidR="00803B2C" w14:paraId="7E816855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B597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Richard Rorty</w:t>
            </w:r>
          </w:p>
          <w:p w14:paraId="141C212C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Kanon platońsko-kantowski i jego krytyka; koncepcja filozofii i nauki, koncepcja człowieka, koncepcja kultury, etnocentryzm i liberalizm, problem relatywizmu, problem antyreprezentcjonizmu.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5B1F" w14:textId="71748FEC" w:rsidR="00803B2C" w:rsidRDefault="000C4936" w:rsidP="00D93AEC">
            <w:pPr>
              <w:pStyle w:val="Standard"/>
              <w:snapToGrid w:val="0"/>
              <w:jc w:val="center"/>
            </w:pPr>
            <w:r>
              <w:t>4</w:t>
            </w:r>
            <w:r w:rsidR="00803B2C">
              <w:t xml:space="preserve"> godz.</w:t>
            </w:r>
          </w:p>
        </w:tc>
      </w:tr>
      <w:tr w:rsidR="00803B2C" w14:paraId="186A99BC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8E4C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Jacques Derrida</w:t>
            </w:r>
          </w:p>
          <w:p w14:paraId="3C3BD88B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filozofii, stosunek do metafizyki, problem prawdy, rola metafory w poznawaniu świata, mitologia; tropy, różnia, dekonstrukcja.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2BA7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59BA28F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882A2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Filozofia XX wieku – podsumowanie</w:t>
            </w:r>
          </w:p>
          <w:p w14:paraId="11D869AE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Podstawowe problemy XX –wiecznej myśli filozoficznej i próby ich rozwiązania, racjonalizm i irracjonalizm jako nurty wyznaczające charakter myśli filozoficznej XX wieku, teza o końcu filozofii – jej zasadność i konsekwencje, filozofia wieku XX a filozofia dziś.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F01C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</w:tbl>
    <w:p w14:paraId="55C2F19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BBD201" w14:textId="77777777" w:rsidR="00803B2C" w:rsidRPr="009C54AE" w:rsidRDefault="00803B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742C2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CED2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B558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32BDAD4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1AE742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CAC09A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EFB89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27182" w14:textId="77777777" w:rsidR="00803B2C" w:rsidRDefault="00803B2C" w:rsidP="00803B2C">
      <w:pPr>
        <w:pStyle w:val="Punktygwne"/>
        <w:spacing w:before="0" w:after="0"/>
      </w:pPr>
      <w:r>
        <w:rPr>
          <w:b w:val="0"/>
          <w:i/>
          <w:smallCaps w:val="0"/>
          <w:sz w:val="22"/>
        </w:rPr>
        <w:t>Wykład: wykład problemowy</w:t>
      </w:r>
    </w:p>
    <w:p w14:paraId="6E595A32" w14:textId="77777777" w:rsidR="00803B2C" w:rsidRDefault="00803B2C" w:rsidP="00803B2C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Ćwiczenia: Analiza tekstów z dyskusją</w:t>
      </w:r>
    </w:p>
    <w:p w14:paraId="74E6256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6AA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42689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B3299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4F83A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7AC34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A1A52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B498B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FF722CB" w14:textId="77777777" w:rsidTr="00F512A6">
        <w:tc>
          <w:tcPr>
            <w:tcW w:w="1962" w:type="dxa"/>
            <w:vAlign w:val="center"/>
          </w:tcPr>
          <w:p w14:paraId="3F75DE2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7D7B7E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9B64AC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5F301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C5025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12A6" w:rsidRPr="009C54AE" w14:paraId="772F76BE" w14:textId="77777777" w:rsidTr="00F512A6">
        <w:tc>
          <w:tcPr>
            <w:tcW w:w="1962" w:type="dxa"/>
          </w:tcPr>
          <w:p w14:paraId="16FE6F42" w14:textId="2AA18A49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1</w:t>
            </w:r>
          </w:p>
        </w:tc>
        <w:tc>
          <w:tcPr>
            <w:tcW w:w="5441" w:type="dxa"/>
          </w:tcPr>
          <w:p w14:paraId="39FF0294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0712CC2C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F512A6" w:rsidRPr="009C54AE" w14:paraId="5F2392F6" w14:textId="77777777" w:rsidTr="00F512A6">
        <w:tc>
          <w:tcPr>
            <w:tcW w:w="1962" w:type="dxa"/>
          </w:tcPr>
          <w:p w14:paraId="72EB5127" w14:textId="1242E22C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2</w:t>
            </w:r>
          </w:p>
        </w:tc>
        <w:tc>
          <w:tcPr>
            <w:tcW w:w="5441" w:type="dxa"/>
          </w:tcPr>
          <w:p w14:paraId="4895485E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22061A16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F512A6" w:rsidRPr="009C54AE" w14:paraId="4CC3479B" w14:textId="77777777" w:rsidTr="00F512A6">
        <w:tc>
          <w:tcPr>
            <w:tcW w:w="1962" w:type="dxa"/>
          </w:tcPr>
          <w:p w14:paraId="72C9C074" w14:textId="2AEB68AF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3</w:t>
            </w:r>
          </w:p>
        </w:tc>
        <w:tc>
          <w:tcPr>
            <w:tcW w:w="5441" w:type="dxa"/>
          </w:tcPr>
          <w:p w14:paraId="40E92138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4AAC3D95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F512A6" w:rsidRPr="009C54AE" w14:paraId="2FFFA086" w14:textId="77777777" w:rsidTr="00F512A6">
        <w:tc>
          <w:tcPr>
            <w:tcW w:w="1962" w:type="dxa"/>
          </w:tcPr>
          <w:p w14:paraId="7A9EF446" w14:textId="241BCBFB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4</w:t>
            </w:r>
          </w:p>
        </w:tc>
        <w:tc>
          <w:tcPr>
            <w:tcW w:w="5441" w:type="dxa"/>
          </w:tcPr>
          <w:p w14:paraId="3F0E2202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1C3B74E1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F512A6" w:rsidRPr="009C54AE" w14:paraId="4819B1D7" w14:textId="77777777" w:rsidTr="00F512A6">
        <w:tc>
          <w:tcPr>
            <w:tcW w:w="1962" w:type="dxa"/>
          </w:tcPr>
          <w:p w14:paraId="7CBE04C6" w14:textId="596D1DD2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lastRenderedPageBreak/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5</w:t>
            </w:r>
          </w:p>
        </w:tc>
        <w:tc>
          <w:tcPr>
            <w:tcW w:w="5441" w:type="dxa"/>
          </w:tcPr>
          <w:p w14:paraId="20CA26CE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063F5E84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F512A6" w:rsidRPr="009C54AE" w14:paraId="2D8C9950" w14:textId="77777777" w:rsidTr="00F512A6">
        <w:tc>
          <w:tcPr>
            <w:tcW w:w="1962" w:type="dxa"/>
          </w:tcPr>
          <w:p w14:paraId="1CC84E50" w14:textId="4A1DDFA0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6</w:t>
            </w:r>
          </w:p>
        </w:tc>
        <w:tc>
          <w:tcPr>
            <w:tcW w:w="5441" w:type="dxa"/>
          </w:tcPr>
          <w:p w14:paraId="4B71184C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4CBDEF27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F512A6" w:rsidRPr="009C54AE" w14:paraId="2F14B054" w14:textId="77777777" w:rsidTr="00F512A6">
        <w:tc>
          <w:tcPr>
            <w:tcW w:w="1962" w:type="dxa"/>
          </w:tcPr>
          <w:p w14:paraId="05E26C5B" w14:textId="7718CAE6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7</w:t>
            </w:r>
          </w:p>
        </w:tc>
        <w:tc>
          <w:tcPr>
            <w:tcW w:w="5441" w:type="dxa"/>
          </w:tcPr>
          <w:p w14:paraId="5A638DD0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38444B97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F512A6" w:rsidRPr="009C54AE" w14:paraId="69AD5DE4" w14:textId="77777777" w:rsidTr="00F512A6">
        <w:tc>
          <w:tcPr>
            <w:tcW w:w="1962" w:type="dxa"/>
          </w:tcPr>
          <w:p w14:paraId="47BD6380" w14:textId="0D2CC83A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8</w:t>
            </w:r>
          </w:p>
        </w:tc>
        <w:tc>
          <w:tcPr>
            <w:tcW w:w="5441" w:type="dxa"/>
          </w:tcPr>
          <w:p w14:paraId="479F0F4C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3C1AC2BB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</w:tbl>
    <w:p w14:paraId="3AF7EB7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11F75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49E79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04F514" w14:textId="77777777" w:rsidTr="00923D7D">
        <w:tc>
          <w:tcPr>
            <w:tcW w:w="9670" w:type="dxa"/>
          </w:tcPr>
          <w:p w14:paraId="3E4788A4" w14:textId="045C6AF9" w:rsidR="00923D7D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 aktywne uczestnictwo w zajęciach będące </w:t>
            </w:r>
            <w:r w:rsidR="00F512A6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odstawą do oceny efektów kształcenia. Ocena końcowa ustalana jest na podstawie obserwacji i jest średnią ocen cząstkowych. 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Oceniając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 zawartoś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 treściow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 wypowiedzi bierze się pod uwagę sposób posługiwania się uży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wanymi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 pojęciami (poprawny / niepoprawny), poprawność budowanych interpretacji, zakres poruszanych problemów (zbyt wąski/ odpowiedni dla danego tematu / zbyt szeroki), zakres wykorzystanej literatury źródłowej i opracowań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, poprawność argumentacji, logikę wywodu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803B2C">
              <w:rPr>
                <w:rFonts w:ascii="Corbel" w:hAnsi="Corbel"/>
                <w:b w:val="0"/>
                <w:smallCaps w:val="0"/>
                <w:szCs w:val="24"/>
              </w:rPr>
              <w:t>W razie usprawiedliwionej nieobecności problematyka zajęć omawiana jest podczas konsultacji.</w:t>
            </w:r>
          </w:p>
          <w:p w14:paraId="5951D9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D3ACB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9AA8D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F4BA8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0127A56" w14:textId="77777777" w:rsidTr="003E1941">
        <w:tc>
          <w:tcPr>
            <w:tcW w:w="4962" w:type="dxa"/>
            <w:vAlign w:val="center"/>
          </w:tcPr>
          <w:p w14:paraId="048C2E6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DC576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95AA6E8" w14:textId="77777777" w:rsidTr="00923D7D">
        <w:tc>
          <w:tcPr>
            <w:tcW w:w="4962" w:type="dxa"/>
          </w:tcPr>
          <w:p w14:paraId="0FEC269D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19201C4" w14:textId="77777777"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57EA4471" w14:textId="77777777" w:rsidTr="00923D7D">
        <w:tc>
          <w:tcPr>
            <w:tcW w:w="4962" w:type="dxa"/>
          </w:tcPr>
          <w:p w14:paraId="75C1B89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3D28BE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4E3F96" w14:textId="77777777" w:rsidR="00C61DC5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7E1E7AB" w14:textId="77777777" w:rsidTr="00923D7D">
        <w:tc>
          <w:tcPr>
            <w:tcW w:w="4962" w:type="dxa"/>
          </w:tcPr>
          <w:p w14:paraId="515092E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21227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348BBE" w14:textId="77777777" w:rsidR="00C61DC5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6E7127EB" w14:textId="77777777" w:rsidTr="00923D7D">
        <w:tc>
          <w:tcPr>
            <w:tcW w:w="4962" w:type="dxa"/>
          </w:tcPr>
          <w:p w14:paraId="7081575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CFFDA94" w14:textId="77777777"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212</w:t>
            </w:r>
          </w:p>
        </w:tc>
      </w:tr>
      <w:tr w:rsidR="0085747A" w:rsidRPr="009C54AE" w14:paraId="27D14385" w14:textId="77777777" w:rsidTr="00923D7D">
        <w:tc>
          <w:tcPr>
            <w:tcW w:w="4962" w:type="dxa"/>
          </w:tcPr>
          <w:p w14:paraId="06155F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FD9886" w14:textId="77777777"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2217FC1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2ECFB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E3F6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F72787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7574ADE" w14:textId="77777777" w:rsidTr="0071620A">
        <w:trPr>
          <w:trHeight w:val="397"/>
        </w:trPr>
        <w:tc>
          <w:tcPr>
            <w:tcW w:w="3544" w:type="dxa"/>
          </w:tcPr>
          <w:p w14:paraId="45851D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ECFDCD3" w14:textId="77777777" w:rsidR="0085747A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54B7CB7" w14:textId="77777777" w:rsidTr="0071620A">
        <w:trPr>
          <w:trHeight w:val="397"/>
        </w:trPr>
        <w:tc>
          <w:tcPr>
            <w:tcW w:w="3544" w:type="dxa"/>
          </w:tcPr>
          <w:p w14:paraId="5ADFF3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940332" w14:textId="77777777" w:rsidR="0085747A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BFC535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1723A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BF83B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30A8354" w14:textId="77777777" w:rsidTr="63F2E82B">
        <w:trPr>
          <w:trHeight w:val="397"/>
        </w:trPr>
        <w:tc>
          <w:tcPr>
            <w:tcW w:w="7513" w:type="dxa"/>
          </w:tcPr>
          <w:p w14:paraId="322D4A0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7E48D0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1DBC0B9C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E. Gilson, A. A. Maurer, T. Langan, </w:t>
            </w:r>
            <w:r>
              <w:rPr>
                <w:b w:val="0"/>
                <w:i/>
                <w:smallCaps w:val="0"/>
                <w:sz w:val="22"/>
              </w:rPr>
              <w:t>Historia filozofii współczesnej</w:t>
            </w:r>
            <w:r>
              <w:rPr>
                <w:b w:val="0"/>
                <w:smallCaps w:val="0"/>
                <w:sz w:val="22"/>
              </w:rPr>
              <w:t>, W-wa 1979;</w:t>
            </w:r>
          </w:p>
          <w:p w14:paraId="5216346A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T. Gadacz, </w:t>
            </w:r>
            <w:r>
              <w:rPr>
                <w:b w:val="0"/>
                <w:i/>
                <w:smallCaps w:val="0"/>
                <w:sz w:val="22"/>
              </w:rPr>
              <w:t>Historia filozofii XX wieku</w:t>
            </w:r>
            <w:r>
              <w:rPr>
                <w:b w:val="0"/>
                <w:smallCaps w:val="0"/>
                <w:sz w:val="22"/>
              </w:rPr>
              <w:t>, t. 1 i 2, Kraków 2009;</w:t>
            </w:r>
          </w:p>
          <w:p w14:paraId="38E5B10E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H. Schnadelbach, </w:t>
            </w:r>
            <w:r>
              <w:rPr>
                <w:b w:val="0"/>
                <w:i/>
                <w:smallCaps w:val="0"/>
                <w:sz w:val="22"/>
              </w:rPr>
              <w:t>Filozofia w Niemczech 1831-1933</w:t>
            </w:r>
            <w:r>
              <w:rPr>
                <w:b w:val="0"/>
                <w:smallCaps w:val="0"/>
                <w:sz w:val="22"/>
              </w:rPr>
              <w:t>, Warszawa 1992;</w:t>
            </w:r>
          </w:p>
          <w:p w14:paraId="5EC64B2A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lastRenderedPageBreak/>
              <w:t xml:space="preserve">- V. Descombes, </w:t>
            </w:r>
            <w:r>
              <w:rPr>
                <w:b w:val="0"/>
                <w:i/>
                <w:smallCaps w:val="0"/>
                <w:sz w:val="22"/>
              </w:rPr>
              <w:t>To samo i inne. Czterdzieści pięć lat filozofii francuskiej (1933-   1978),</w:t>
            </w:r>
            <w:r>
              <w:rPr>
                <w:b w:val="0"/>
                <w:smallCaps w:val="0"/>
                <w:sz w:val="22"/>
              </w:rPr>
              <w:t xml:space="preserve"> Warszawa 1996;</w:t>
            </w:r>
          </w:p>
          <w:p w14:paraId="783E655E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Z. Kuderowicz (red.) </w:t>
            </w:r>
            <w:r>
              <w:rPr>
                <w:b w:val="0"/>
                <w:i/>
                <w:smallCaps w:val="0"/>
                <w:sz w:val="22"/>
              </w:rPr>
              <w:t>Filozofia współczesna</w:t>
            </w:r>
            <w:r>
              <w:rPr>
                <w:b w:val="0"/>
                <w:smallCaps w:val="0"/>
                <w:sz w:val="22"/>
              </w:rPr>
              <w:t>, t. 1 i 2, (różne wydania);</w:t>
            </w:r>
          </w:p>
          <w:p w14:paraId="0CC3C28F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F. Copleston, </w:t>
            </w:r>
            <w:r>
              <w:rPr>
                <w:b w:val="0"/>
                <w:i/>
                <w:smallCaps w:val="0"/>
                <w:sz w:val="22"/>
              </w:rPr>
              <w:t>Historia filozofii</w:t>
            </w:r>
            <w:r>
              <w:rPr>
                <w:b w:val="0"/>
                <w:smallCaps w:val="0"/>
                <w:sz w:val="22"/>
              </w:rPr>
              <w:t>, Warszawa 1991, t. VIII I IX, (fragmenty);</w:t>
            </w:r>
          </w:p>
          <w:p w14:paraId="4D0BA1B8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- A. Nowaczyk, </w:t>
            </w:r>
            <w:r>
              <w:rPr>
                <w:b w:val="0"/>
                <w:i/>
                <w:smallCaps w:val="0"/>
                <w:sz w:val="22"/>
              </w:rPr>
              <w:t>Filozofia analityczna</w:t>
            </w:r>
            <w:r>
              <w:rPr>
                <w:b w:val="0"/>
                <w:smallCaps w:val="0"/>
                <w:sz w:val="22"/>
              </w:rPr>
              <w:t xml:space="preserve">, Warszawa 2008.  </w:t>
            </w:r>
          </w:p>
          <w:p w14:paraId="5247EB68" w14:textId="77777777" w:rsidR="00DC12D5" w:rsidRDefault="00DC12D5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2C1ECD46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34B5BDC3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Zmierzch bożyszcz czyli jak filozofuje się młotem</w:t>
            </w:r>
            <w:r>
              <w:rPr>
                <w:lang w:eastAsia="en-US"/>
              </w:rPr>
              <w:t>, przeł. S. Wyrzykowski, Warszawa 1906, s. 13-56.</w:t>
            </w:r>
          </w:p>
          <w:p w14:paraId="3B3DB8AF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Tako rzecze Zaratustra Książka dla wszystkich i dla nikogo</w:t>
            </w:r>
            <w:r>
              <w:rPr>
                <w:lang w:eastAsia="en-US"/>
              </w:rPr>
              <w:t>, przeł. W. Berent, wyd. Zysk i S-ka, Poznań 2000, s. 7-40.</w:t>
            </w:r>
          </w:p>
          <w:p w14:paraId="49E2D90E" w14:textId="359A9A69" w:rsidR="00803B2C" w:rsidRDefault="00803B2C" w:rsidP="0002795D">
            <w:pPr>
              <w:pStyle w:val="Textbody"/>
              <w:spacing w:after="0"/>
            </w:pPr>
            <w:r w:rsidRPr="63F2E82B">
              <w:rPr>
                <w:lang w:eastAsia="en-US"/>
              </w:rPr>
              <w:t xml:space="preserve">Nietzsche F., </w:t>
            </w:r>
            <w:r w:rsidRPr="63F2E82B">
              <w:rPr>
                <w:i/>
                <w:iCs/>
                <w:lang w:eastAsia="en-US"/>
              </w:rPr>
              <w:t>Wola mocy</w:t>
            </w:r>
            <w:r w:rsidRPr="63F2E82B">
              <w:rPr>
                <w:lang w:eastAsia="en-US"/>
              </w:rPr>
              <w:t>, przeł. S. Frycz i K. Drzewiecki, Wyd. Zielona Sowa, Kraków 2006</w:t>
            </w:r>
            <w:r w:rsidR="009E6CE7">
              <w:rPr>
                <w:lang w:eastAsia="en-US"/>
              </w:rPr>
              <w:t xml:space="preserve"> </w:t>
            </w:r>
            <w:r w:rsidR="7E87922B" w:rsidRPr="63F2E82B">
              <w:rPr>
                <w:lang w:eastAsia="en-US"/>
              </w:rPr>
              <w:t>s.</w:t>
            </w:r>
            <w:r w:rsidR="250FDBE9" w:rsidRPr="63F2E82B">
              <w:rPr>
                <w:lang w:eastAsia="en-US"/>
              </w:rPr>
              <w:t xml:space="preserve"> </w:t>
            </w:r>
            <w:r w:rsidR="7E87922B" w:rsidRPr="63F2E82B">
              <w:rPr>
                <w:lang w:eastAsia="en-US"/>
              </w:rPr>
              <w:t>9-27</w:t>
            </w:r>
            <w:r w:rsidR="1358313B" w:rsidRPr="63F2E82B">
              <w:rPr>
                <w:lang w:eastAsia="en-US"/>
              </w:rPr>
              <w:t>; 233-251</w:t>
            </w:r>
            <w:r w:rsidRPr="63F2E82B">
              <w:rPr>
                <w:lang w:eastAsia="en-US"/>
              </w:rPr>
              <w:t>.</w:t>
            </w:r>
          </w:p>
          <w:p w14:paraId="1EADD2DE" w14:textId="1B8ED11B" w:rsidR="00803B2C" w:rsidRDefault="00803B2C" w:rsidP="0002795D">
            <w:pPr>
              <w:pStyle w:val="Textbody"/>
              <w:spacing w:after="0"/>
            </w:pPr>
            <w:r w:rsidRPr="63F2E82B">
              <w:rPr>
                <w:lang w:eastAsia="en-US"/>
              </w:rPr>
              <w:t xml:space="preserve">Heidegger M., </w:t>
            </w:r>
            <w:r w:rsidRPr="63F2E82B">
              <w:rPr>
                <w:i/>
                <w:iCs/>
                <w:lang w:eastAsia="en-US"/>
              </w:rPr>
              <w:t>Powiedzenie Nietzschego „Bóg umarł”</w:t>
            </w:r>
            <w:r w:rsidRPr="63F2E82B">
              <w:rPr>
                <w:lang w:eastAsia="en-US"/>
              </w:rPr>
              <w:t>, przeł. J. Gierasimiuk [w:] M. Heidegger, „Drogi lasu”, wyd. Fundacja Aletheia, Warszawa 1997</w:t>
            </w:r>
            <w:r w:rsidR="6865F1B3" w:rsidRPr="63F2E82B">
              <w:rPr>
                <w:lang w:eastAsia="en-US"/>
              </w:rPr>
              <w:t>, s.171-216.</w:t>
            </w:r>
          </w:p>
          <w:p w14:paraId="0D7F4DE4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Dilthey W., </w:t>
            </w:r>
            <w:r>
              <w:rPr>
                <w:i/>
                <w:lang w:eastAsia="en-US"/>
              </w:rPr>
              <w:t>O istocie filozofii i inne pisma</w:t>
            </w:r>
            <w:r>
              <w:rPr>
                <w:lang w:eastAsia="en-US"/>
              </w:rPr>
              <w:t>, przeł. E. Paczkowska-Łagowska, wyd. PWN, Warszawa 1987, s. 113-175.</w:t>
            </w:r>
          </w:p>
          <w:p w14:paraId="67DBE2FE" w14:textId="77777777" w:rsidR="00803B2C" w:rsidRDefault="00803B2C" w:rsidP="0002795D">
            <w:pPr>
              <w:pStyle w:val="Textbody"/>
            </w:pPr>
            <w:r>
              <w:rPr>
                <w:lang w:eastAsia="en-US"/>
              </w:rPr>
              <w:t xml:space="preserve">W. Dilthey, </w:t>
            </w:r>
            <w:r>
              <w:rPr>
                <w:i/>
                <w:lang w:eastAsia="en-US"/>
              </w:rPr>
              <w:t>Budowa świata historycznego w naukach humanistycznych</w:t>
            </w:r>
            <w:r>
              <w:rPr>
                <w:lang w:eastAsia="en-US"/>
              </w:rPr>
              <w:t>, przeł. E. Paczkowska-Łagowska, Wyd. Słowo / Obraz Terytoria, Gdańsk 2004, s. 19-101; 171-212.</w:t>
            </w:r>
          </w:p>
          <w:p w14:paraId="79A008D4" w14:textId="6B2ACB41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Bergson H</w:t>
            </w:r>
            <w:r>
              <w:rPr>
                <w:i/>
                <w:lang w:eastAsia="en-US"/>
              </w:rPr>
              <w:t>. Ewolucja twórcza</w:t>
            </w:r>
            <w:r>
              <w:rPr>
                <w:lang w:eastAsia="en-US"/>
              </w:rPr>
              <w:t>, przeł. F. Znaniecki, Książka i Wiedza, Warszawa 1957, s. 9-20, 50-54, 86-98, 124-131, 198-200, 232-238.</w:t>
            </w:r>
          </w:p>
          <w:p w14:paraId="0B7FB610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Bergson H. </w:t>
            </w:r>
            <w:r>
              <w:rPr>
                <w:i/>
                <w:lang w:eastAsia="en-US"/>
              </w:rPr>
              <w:t>Dwa źródła moralności i religii</w:t>
            </w:r>
            <w:r>
              <w:rPr>
                <w:lang w:eastAsia="en-US"/>
              </w:rPr>
              <w:t>, tłum. P. Kostyło i K. Skorulski, wyd. Znak, Kraków 1993, rozdz. I s. 15-105, rozdz. III, s. 205-259.</w:t>
            </w:r>
          </w:p>
          <w:p w14:paraId="3D783FD5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Freud Z., </w:t>
            </w:r>
            <w:r>
              <w:rPr>
                <w:i/>
                <w:lang w:eastAsia="en-US"/>
              </w:rPr>
              <w:t>Wstęp do psychoanalizy</w:t>
            </w:r>
            <w:r>
              <w:rPr>
                <w:lang w:eastAsia="en-US"/>
              </w:rPr>
              <w:t>, tłum. S. Kempnerówna, W. Znaniewicki, wyd. PWN, Warszawa 1997, s. 103-234.</w:t>
            </w:r>
          </w:p>
          <w:p w14:paraId="493594D0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Bakradze K., </w:t>
            </w:r>
            <w:r>
              <w:rPr>
                <w:i/>
                <w:lang w:eastAsia="en-US"/>
              </w:rPr>
              <w:t>Z dziejów filozofii współczesnej</w:t>
            </w:r>
            <w:r>
              <w:rPr>
                <w:lang w:eastAsia="en-US"/>
              </w:rPr>
              <w:t>, tłum. H. Zelnikowa, Warszawa 1964, s. 151-308.</w:t>
            </w:r>
          </w:p>
          <w:p w14:paraId="279ABF83" w14:textId="3921F352" w:rsidR="00803B2C" w:rsidRDefault="00803B2C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Cassirer E., </w:t>
            </w:r>
            <w:r w:rsidRPr="63F2E82B">
              <w:rPr>
                <w:i/>
                <w:iCs/>
                <w:lang w:eastAsia="en-US"/>
              </w:rPr>
              <w:t>Esej o człowieku. Wstęp do filozofii kultury</w:t>
            </w:r>
            <w:r w:rsidRPr="63F2E82B">
              <w:rPr>
                <w:lang w:eastAsia="en-US"/>
              </w:rPr>
              <w:t xml:space="preserve">, przeł. A. Staniewska, wyd. Czytelnik, Warszawa 1998 </w:t>
            </w:r>
            <w:r w:rsidR="538D0FF6" w:rsidRPr="63F2E82B">
              <w:rPr>
                <w:lang w:eastAsia="en-US"/>
              </w:rPr>
              <w:t>s. 77-131</w:t>
            </w:r>
            <w:r w:rsidR="7405BD23" w:rsidRPr="63F2E82B">
              <w:rPr>
                <w:lang w:eastAsia="en-US"/>
              </w:rPr>
              <w:t>;</w:t>
            </w:r>
            <w:r w:rsidR="538D0FF6" w:rsidRPr="63F2E82B">
              <w:rPr>
                <w:lang w:eastAsia="en-US"/>
              </w:rPr>
              <w:t xml:space="preserve"> 145-159</w:t>
            </w:r>
            <w:r w:rsidR="00CE7658">
              <w:rPr>
                <w:lang w:eastAsia="en-US"/>
              </w:rPr>
              <w:t>.</w:t>
            </w:r>
          </w:p>
          <w:p w14:paraId="76B1D728" w14:textId="6873298E" w:rsidR="00803B2C" w:rsidRDefault="00803B2C" w:rsidP="0002795D">
            <w:pPr>
              <w:pStyle w:val="Textbody"/>
              <w:spacing w:after="0"/>
            </w:pPr>
            <w:r w:rsidRPr="63F2E82B">
              <w:rPr>
                <w:lang w:eastAsia="en-US"/>
              </w:rPr>
              <w:t xml:space="preserve">Husserl E., </w:t>
            </w:r>
            <w:r w:rsidRPr="63F2E82B">
              <w:rPr>
                <w:i/>
                <w:iCs/>
                <w:lang w:eastAsia="en-US"/>
              </w:rPr>
              <w:t>Filozofia jako ścisła nauka</w:t>
            </w:r>
            <w:r w:rsidRPr="63F2E82B">
              <w:rPr>
                <w:lang w:eastAsia="en-US"/>
              </w:rPr>
              <w:t xml:space="preserve">, tłum. W. Galewicz, wyd. Fundacja Aletheia, Warszawa 1992 </w:t>
            </w:r>
            <w:r w:rsidR="1E6B3DC3" w:rsidRPr="63F2E82B">
              <w:rPr>
                <w:lang w:eastAsia="en-US"/>
              </w:rPr>
              <w:t>s. 5-7</w:t>
            </w:r>
            <w:r w:rsidR="0A4E6729" w:rsidRPr="63F2E82B">
              <w:rPr>
                <w:lang w:eastAsia="en-US"/>
              </w:rPr>
              <w:t>9</w:t>
            </w:r>
            <w:r w:rsidRPr="63F2E82B">
              <w:rPr>
                <w:lang w:eastAsia="en-US"/>
              </w:rPr>
              <w:t>.</w:t>
            </w:r>
          </w:p>
          <w:p w14:paraId="1F98202E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Husserl E., </w:t>
            </w:r>
            <w:r>
              <w:rPr>
                <w:i/>
                <w:lang w:eastAsia="en-US"/>
              </w:rPr>
              <w:t>Idea fenomenologii Pięć Wykładów</w:t>
            </w:r>
            <w:r>
              <w:rPr>
                <w:lang w:eastAsia="en-US"/>
              </w:rPr>
              <w:t xml:space="preserve">, przeł. </w:t>
            </w:r>
            <w:r w:rsidRPr="000F5E25">
              <w:rPr>
                <w:lang w:eastAsia="en-US"/>
              </w:rPr>
              <w:t>J. Sidorek, PWN, 1990 s. 9-91.</w:t>
            </w:r>
          </w:p>
          <w:p w14:paraId="2A1747EC" w14:textId="344CD1FA" w:rsidR="00803B2C" w:rsidRDefault="00803B2C" w:rsidP="0002795D">
            <w:pPr>
              <w:pStyle w:val="Textbody"/>
              <w:spacing w:after="0"/>
            </w:pPr>
            <w:r w:rsidRPr="63F2E82B">
              <w:rPr>
                <w:lang w:eastAsia="en-US"/>
              </w:rPr>
              <w:t xml:space="preserve">31. Husserl E. </w:t>
            </w:r>
            <w:r w:rsidRPr="63F2E82B">
              <w:rPr>
                <w:i/>
                <w:iCs/>
                <w:lang w:eastAsia="en-US"/>
              </w:rPr>
              <w:t>Kryzys nauk europejskich i fenomenologia transcendentalna Wprowadzenie do filozofii fenomenologicznej</w:t>
            </w:r>
            <w:r w:rsidRPr="63F2E82B">
              <w:rPr>
                <w:lang w:eastAsia="en-US"/>
              </w:rPr>
              <w:t>, przeł. S. Walczewska, PAT, Kraków 1987</w:t>
            </w:r>
            <w:r w:rsidR="00236AC4">
              <w:rPr>
                <w:lang w:eastAsia="en-US"/>
              </w:rPr>
              <w:t>, s. 5-21; 24 -</w:t>
            </w:r>
            <w:r w:rsidR="000B01B9">
              <w:rPr>
                <w:lang w:eastAsia="en-US"/>
              </w:rPr>
              <w:t xml:space="preserve">64; </w:t>
            </w:r>
            <w:r w:rsidR="00236AC4">
              <w:rPr>
                <w:lang w:eastAsia="en-US"/>
              </w:rPr>
              <w:t>71-90; 98-110.</w:t>
            </w:r>
          </w:p>
          <w:p w14:paraId="5A2EFFF3" w14:textId="21CB5671" w:rsidR="00803B2C" w:rsidRDefault="15AC18D9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 Wolniewicz B.,</w:t>
            </w:r>
            <w:r w:rsidRPr="63F2E82B">
              <w:rPr>
                <w:i/>
                <w:iCs/>
                <w:lang w:eastAsia="en-US"/>
              </w:rPr>
              <w:t xml:space="preserve"> </w:t>
            </w:r>
            <w:r w:rsidR="39316EA9" w:rsidRPr="63F2E82B">
              <w:rPr>
                <w:i/>
                <w:iCs/>
                <w:lang w:eastAsia="en-US"/>
              </w:rPr>
              <w:t>O traktacie</w:t>
            </w:r>
            <w:r w:rsidR="39316EA9" w:rsidRPr="63F2E82B">
              <w:rPr>
                <w:lang w:eastAsia="en-US"/>
              </w:rPr>
              <w:t xml:space="preserve"> [w:] </w:t>
            </w:r>
            <w:r w:rsidR="00803B2C" w:rsidRPr="63F2E82B">
              <w:rPr>
                <w:lang w:eastAsia="en-US"/>
              </w:rPr>
              <w:t xml:space="preserve">Wittgenstein L., </w:t>
            </w:r>
            <w:r w:rsidR="00803B2C" w:rsidRPr="63F2E82B">
              <w:rPr>
                <w:i/>
                <w:iCs/>
                <w:lang w:eastAsia="en-US"/>
              </w:rPr>
              <w:t>Trctatus logico-philosophicus</w:t>
            </w:r>
            <w:r w:rsidR="00803B2C" w:rsidRPr="63F2E82B">
              <w:rPr>
                <w:lang w:eastAsia="en-US"/>
              </w:rPr>
              <w:t>, przeł. B. Wolniewicz, PWN, Warszawa 1997</w:t>
            </w:r>
            <w:r w:rsidR="0C4BC6BC" w:rsidRPr="63F2E82B">
              <w:rPr>
                <w:lang w:eastAsia="en-US"/>
              </w:rPr>
              <w:t>,</w:t>
            </w:r>
            <w:r w:rsidR="613C7D91" w:rsidRPr="63F2E82B">
              <w:rPr>
                <w:lang w:eastAsia="en-US"/>
              </w:rPr>
              <w:t xml:space="preserve"> </w:t>
            </w:r>
            <w:r w:rsidR="63DF3992" w:rsidRPr="63F2E82B">
              <w:rPr>
                <w:lang w:eastAsia="en-US"/>
              </w:rPr>
              <w:t>s. VII – XL</w:t>
            </w:r>
            <w:r w:rsidR="63B3A090" w:rsidRPr="63F2E82B">
              <w:rPr>
                <w:lang w:eastAsia="en-US"/>
              </w:rPr>
              <w:t>.</w:t>
            </w:r>
            <w:r w:rsidR="63DF3992" w:rsidRPr="63F2E82B">
              <w:rPr>
                <w:lang w:eastAsia="en-US"/>
              </w:rPr>
              <w:t xml:space="preserve"> </w:t>
            </w:r>
            <w:r w:rsidR="5C4AD5B9" w:rsidRPr="63F2E82B">
              <w:rPr>
                <w:lang w:eastAsia="en-US"/>
              </w:rPr>
              <w:t xml:space="preserve"> </w:t>
            </w:r>
          </w:p>
          <w:p w14:paraId="120EACE1" w14:textId="58723CE9" w:rsidR="730D92AC" w:rsidRDefault="730D92AC" w:rsidP="63F2E82B">
            <w:pPr>
              <w:pStyle w:val="Textbody"/>
              <w:spacing w:after="0"/>
              <w:rPr>
                <w:lang w:eastAsia="en-US"/>
              </w:rPr>
            </w:pPr>
            <w:r w:rsidRPr="00F65825">
              <w:rPr>
                <w:lang w:eastAsia="en-US"/>
              </w:rPr>
              <w:t xml:space="preserve">Wittgenstein L., </w:t>
            </w:r>
            <w:r w:rsidRPr="00F65825">
              <w:rPr>
                <w:i/>
                <w:iCs/>
                <w:lang w:eastAsia="en-US"/>
              </w:rPr>
              <w:t>Trctatus logico-philosophicus</w:t>
            </w:r>
            <w:r w:rsidRPr="00F65825">
              <w:rPr>
                <w:lang w:eastAsia="en-US"/>
              </w:rPr>
              <w:t xml:space="preserve">, przeł. </w:t>
            </w:r>
            <w:r w:rsidRPr="63F2E82B">
              <w:rPr>
                <w:lang w:eastAsia="en-US"/>
              </w:rPr>
              <w:t xml:space="preserve">B. Wolniewicz, PWN, Warszawa 1997, s. 3- </w:t>
            </w:r>
            <w:r w:rsidR="30A279AE" w:rsidRPr="63F2E82B">
              <w:rPr>
                <w:lang w:eastAsia="en-US"/>
              </w:rPr>
              <w:t xml:space="preserve">40; </w:t>
            </w:r>
            <w:r w:rsidR="53F1D499" w:rsidRPr="63F2E82B">
              <w:rPr>
                <w:lang w:eastAsia="en-US"/>
              </w:rPr>
              <w:t>83.</w:t>
            </w:r>
          </w:p>
          <w:p w14:paraId="581DF799" w14:textId="0A67F056" w:rsidR="00803B2C" w:rsidRDefault="00803B2C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Wittgenstein L., </w:t>
            </w:r>
            <w:r w:rsidRPr="63F2E82B">
              <w:rPr>
                <w:i/>
                <w:iCs/>
                <w:lang w:eastAsia="en-US"/>
              </w:rPr>
              <w:t>Dociekania filozoficzne</w:t>
            </w:r>
            <w:r w:rsidRPr="63F2E82B">
              <w:rPr>
                <w:lang w:eastAsia="en-US"/>
              </w:rPr>
              <w:t>, przeł. B. Wolniewicz, PWN, Warszawa 2000</w:t>
            </w:r>
            <w:r w:rsidR="2E3895C7" w:rsidRPr="63F2E82B">
              <w:rPr>
                <w:lang w:eastAsia="en-US"/>
              </w:rPr>
              <w:t>, s. 7-96.</w:t>
            </w:r>
          </w:p>
          <w:p w14:paraId="10B09F1F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Scheler M., </w:t>
            </w:r>
            <w:r>
              <w:rPr>
                <w:i/>
                <w:lang w:eastAsia="en-US"/>
              </w:rPr>
              <w:t>Istota i formy sympatii</w:t>
            </w:r>
            <w:r>
              <w:rPr>
                <w:lang w:eastAsia="en-US"/>
              </w:rPr>
              <w:t xml:space="preserve">, tłum. A. Węgrzecki, PWN, Warszawa 1980, część B </w:t>
            </w:r>
            <w:r>
              <w:rPr>
                <w:i/>
                <w:lang w:eastAsia="en-US"/>
              </w:rPr>
              <w:t>Miłość i nienawiść</w:t>
            </w:r>
            <w:r>
              <w:rPr>
                <w:lang w:eastAsia="en-US"/>
              </w:rPr>
              <w:t xml:space="preserve"> s. 228-319.</w:t>
            </w:r>
          </w:p>
          <w:p w14:paraId="62D5295F" w14:textId="48771585" w:rsidR="00803B2C" w:rsidRDefault="00803B2C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Scheler M., </w:t>
            </w:r>
            <w:r w:rsidRPr="63F2E82B">
              <w:rPr>
                <w:i/>
                <w:iCs/>
                <w:lang w:eastAsia="en-US"/>
              </w:rPr>
              <w:t>Resentyment a moralność</w:t>
            </w:r>
            <w:r w:rsidRPr="63F2E82B">
              <w:rPr>
                <w:lang w:eastAsia="en-US"/>
              </w:rPr>
              <w:t>, przeł. J. Garewicz, Czytelnik, Warszawa 1997</w:t>
            </w:r>
            <w:r w:rsidR="4987783E" w:rsidRPr="63F2E82B">
              <w:rPr>
                <w:lang w:eastAsia="en-US"/>
              </w:rPr>
              <w:t>, s. 27-129.</w:t>
            </w:r>
          </w:p>
          <w:p w14:paraId="26A11BCC" w14:textId="6005C076" w:rsidR="00803B2C" w:rsidRDefault="00803B2C" w:rsidP="0002795D">
            <w:pPr>
              <w:pStyle w:val="Textbody"/>
              <w:spacing w:after="0" w:line="240" w:lineRule="auto"/>
              <w:jc w:val="both"/>
              <w:rPr>
                <w:lang w:eastAsia="en-US"/>
              </w:rPr>
            </w:pPr>
            <w:r w:rsidRPr="63F2E82B">
              <w:rPr>
                <w:lang w:eastAsia="en-US"/>
              </w:rPr>
              <w:lastRenderedPageBreak/>
              <w:t xml:space="preserve">Hartmann N., </w:t>
            </w:r>
            <w:r w:rsidRPr="63F2E82B">
              <w:rPr>
                <w:i/>
                <w:iCs/>
                <w:lang w:eastAsia="en-US"/>
              </w:rPr>
              <w:t>Systematyczna autoprezentacja</w:t>
            </w:r>
            <w:r w:rsidRPr="63F2E82B">
              <w:rPr>
                <w:lang w:eastAsia="en-US"/>
              </w:rPr>
              <w:t>, [w:] „Literatura na świecie” 1987, nr 4</w:t>
            </w:r>
            <w:r w:rsidR="36304D73" w:rsidRPr="63F2E82B">
              <w:rPr>
                <w:lang w:eastAsia="en-US"/>
              </w:rPr>
              <w:t>, s. 298-344.</w:t>
            </w:r>
          </w:p>
          <w:p w14:paraId="0DB4255F" w14:textId="7E35227C" w:rsidR="00803B2C" w:rsidRDefault="00803B2C" w:rsidP="0002795D">
            <w:pPr>
              <w:pStyle w:val="Textbody"/>
              <w:spacing w:after="0" w:line="240" w:lineRule="auto"/>
              <w:jc w:val="both"/>
            </w:pPr>
            <w:r w:rsidRPr="63F2E82B">
              <w:rPr>
                <w:lang w:val="de-DE" w:eastAsia="en-US"/>
              </w:rPr>
              <w:t xml:space="preserve">Galewicz W., N. Hartmann, </w:t>
            </w:r>
            <w:r w:rsidRPr="63F2E82B">
              <w:rPr>
                <w:lang w:eastAsia="en-US"/>
              </w:rPr>
              <w:t>Wiedza Powszechna, Warszawa 1987</w:t>
            </w:r>
            <w:r w:rsidR="354D98B8" w:rsidRPr="63F2E82B">
              <w:rPr>
                <w:lang w:eastAsia="en-US"/>
              </w:rPr>
              <w:t>, s.143-200</w:t>
            </w:r>
            <w:r w:rsidRPr="63F2E82B">
              <w:rPr>
                <w:lang w:eastAsia="en-US"/>
              </w:rPr>
              <w:t>.</w:t>
            </w:r>
          </w:p>
          <w:p w14:paraId="530A7332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Bycie i czas</w:t>
            </w:r>
            <w:r>
              <w:rPr>
                <w:lang w:eastAsia="en-US"/>
              </w:rPr>
              <w:t>, przeł. B. Baran, PWN, Warszawa 1994, s. 3-58, 74-89, 186-256, 256-278, 325-424.</w:t>
            </w:r>
          </w:p>
          <w:p w14:paraId="52F21C28" w14:textId="6199BB1B" w:rsidR="00803B2C" w:rsidRDefault="00803B2C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41. Sartre J. P., </w:t>
            </w:r>
            <w:r w:rsidRPr="63F2E82B">
              <w:rPr>
                <w:i/>
                <w:iCs/>
                <w:lang w:eastAsia="en-US"/>
              </w:rPr>
              <w:t>Egzystencjalizm jest humanizmem</w:t>
            </w:r>
            <w:r w:rsidRPr="63F2E82B">
              <w:rPr>
                <w:lang w:eastAsia="en-US"/>
              </w:rPr>
              <w:t xml:space="preserve">, przeł. J. Krajewski, </w:t>
            </w:r>
            <w:r w:rsidR="528905F5" w:rsidRPr="63F2E82B">
              <w:rPr>
                <w:lang w:eastAsia="en-US"/>
              </w:rPr>
              <w:t>Warszawskie Wyd. Literackie</w:t>
            </w:r>
            <w:r w:rsidRPr="63F2E82B">
              <w:rPr>
                <w:lang w:eastAsia="en-US"/>
              </w:rPr>
              <w:t xml:space="preserve"> Muza</w:t>
            </w:r>
            <w:r w:rsidR="1C06E21C" w:rsidRPr="63F2E82B">
              <w:rPr>
                <w:lang w:eastAsia="en-US"/>
              </w:rPr>
              <w:t xml:space="preserve"> SA</w:t>
            </w:r>
            <w:r w:rsidRPr="63F2E82B">
              <w:rPr>
                <w:lang w:eastAsia="en-US"/>
              </w:rPr>
              <w:t>, Warszawa 1998</w:t>
            </w:r>
            <w:r w:rsidR="00CE7658">
              <w:rPr>
                <w:lang w:eastAsia="en-US"/>
              </w:rPr>
              <w:t xml:space="preserve">, </w:t>
            </w:r>
            <w:r w:rsidR="4FE858CB" w:rsidRPr="63F2E82B">
              <w:rPr>
                <w:lang w:eastAsia="en-US"/>
              </w:rPr>
              <w:t>s. 17-84</w:t>
            </w:r>
            <w:r w:rsidRPr="63F2E82B">
              <w:rPr>
                <w:lang w:eastAsia="en-US"/>
              </w:rPr>
              <w:t>.</w:t>
            </w:r>
          </w:p>
          <w:p w14:paraId="2D2EFFF3" w14:textId="0484742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Jaspers K., </w:t>
            </w:r>
            <w:r>
              <w:rPr>
                <w:i/>
                <w:lang w:eastAsia="en-US"/>
              </w:rPr>
              <w:t>Filozofia egzystencji</w:t>
            </w:r>
            <w:r>
              <w:rPr>
                <w:lang w:eastAsia="en-US"/>
              </w:rPr>
              <w:t>, [w:] Jaspers K, „Filozofia egzystencji”, przeł. D. Lachowska i A. Wołkowicz, PIW, Warszawa 1990</w:t>
            </w:r>
            <w:r w:rsidR="00BC06A2">
              <w:rPr>
                <w:lang w:eastAsia="en-US"/>
              </w:rPr>
              <w:t>, s. 80-158.</w:t>
            </w:r>
          </w:p>
          <w:p w14:paraId="7F1DE9CF" w14:textId="530DB85E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Płużański T., </w:t>
            </w:r>
            <w:r>
              <w:rPr>
                <w:i/>
                <w:lang w:eastAsia="en-US"/>
              </w:rPr>
              <w:t>Mounier</w:t>
            </w:r>
            <w:r>
              <w:rPr>
                <w:lang w:eastAsia="en-US"/>
              </w:rPr>
              <w:t>, wyd. Wiedza Powszechna, Warszawa 1967</w:t>
            </w:r>
            <w:r w:rsidR="00BC06A2">
              <w:rPr>
                <w:lang w:eastAsia="en-US"/>
              </w:rPr>
              <w:t>, s. 143-150; 172-194; 223-235.</w:t>
            </w:r>
          </w:p>
          <w:p w14:paraId="399FB6EA" w14:textId="12BCE872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Rawls J., Teoria sprawiedliwości, tłum. M. Panufnik, J. Pasek, A. Romaniuk, PWN 1994</w:t>
            </w:r>
            <w:r w:rsidR="00DB6330">
              <w:rPr>
                <w:lang w:eastAsia="en-US"/>
              </w:rPr>
              <w:t>, s. 12-37; 78-107, 178-254.</w:t>
            </w:r>
          </w:p>
          <w:p w14:paraId="3F390DA5" w14:textId="556B18E2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Nozick R., Anarchia, państwo, utopia, tłum. P. Maciejko i M. Szczubiałka, Wyd. Aletheya, Warszawa 1999</w:t>
            </w:r>
            <w:r w:rsidR="002A208D">
              <w:rPr>
                <w:lang w:eastAsia="en-US"/>
              </w:rPr>
              <w:t>, s. 25-42; 113-148, 181-216.</w:t>
            </w:r>
          </w:p>
          <w:p w14:paraId="0ACD363B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James W., </w:t>
            </w:r>
            <w:r>
              <w:rPr>
                <w:i/>
                <w:lang w:eastAsia="en-US"/>
              </w:rPr>
              <w:t>Pragmatyzm</w:t>
            </w:r>
            <w:r>
              <w:rPr>
                <w:lang w:eastAsia="en-US"/>
              </w:rPr>
              <w:t>”, tłum. M. Szczubiałka, Wyd. KR, Warszawa 1998, s. 65-91, 159-209.</w:t>
            </w:r>
          </w:p>
          <w:p w14:paraId="7DA62D40" w14:textId="578838CA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R. </w:t>
            </w:r>
            <w:r>
              <w:rPr>
                <w:i/>
                <w:lang w:eastAsia="en-US"/>
              </w:rPr>
              <w:t>Filozofia a zwierciadło natury</w:t>
            </w:r>
            <w:r>
              <w:rPr>
                <w:lang w:eastAsia="en-US"/>
              </w:rPr>
              <w:t xml:space="preserve">, przeł. M. Sczubiałka, </w:t>
            </w:r>
            <w:r w:rsidR="00DB6330">
              <w:rPr>
                <w:lang w:eastAsia="en-US"/>
              </w:rPr>
              <w:t>W</w:t>
            </w:r>
            <w:r>
              <w:rPr>
                <w:lang w:eastAsia="en-US"/>
              </w:rPr>
              <w:t>yd. Spacja, Warszawa 1994, s. 19-69, 119-191, 279-351.</w:t>
            </w:r>
          </w:p>
          <w:p w14:paraId="6B22FCD0" w14:textId="2A559DF2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R, </w:t>
            </w:r>
            <w:r>
              <w:rPr>
                <w:i/>
                <w:lang w:eastAsia="en-US"/>
              </w:rPr>
              <w:t>Przygodność, ironia i solidarność</w:t>
            </w:r>
            <w:r>
              <w:rPr>
                <w:lang w:eastAsia="en-US"/>
              </w:rPr>
              <w:t xml:space="preserve">; przeł. W. J. Popowski, </w:t>
            </w:r>
            <w:r w:rsidR="00DB6330">
              <w:rPr>
                <w:lang w:eastAsia="en-US"/>
              </w:rPr>
              <w:t>W</w:t>
            </w:r>
            <w:r>
              <w:rPr>
                <w:lang w:eastAsia="en-US"/>
              </w:rPr>
              <w:t>yd. Spacja, Warszawa 1996, s 19-107, 255-269.</w:t>
            </w:r>
          </w:p>
          <w:p w14:paraId="3849AE79" w14:textId="212C64DC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Biała mitologia. Metafora w tekście filozoficznym</w:t>
            </w:r>
            <w:r>
              <w:rPr>
                <w:lang w:eastAsia="en-US"/>
              </w:rPr>
              <w:t xml:space="preserve">, </w:t>
            </w:r>
            <w:r w:rsidR="000B6113">
              <w:rPr>
                <w:lang w:eastAsia="en-US"/>
              </w:rPr>
              <w:t xml:space="preserve">przeł. W. Krzemień </w:t>
            </w:r>
            <w:r>
              <w:rPr>
                <w:lang w:eastAsia="en-US"/>
              </w:rPr>
              <w:t>[w:] „Pamiętnik Literacki” LXXVII, 1986, z.3</w:t>
            </w:r>
            <w:r w:rsidR="000B6113">
              <w:rPr>
                <w:lang w:eastAsia="en-US"/>
              </w:rPr>
              <w:t>, s. 283-318</w:t>
            </w:r>
          </w:p>
          <w:p w14:paraId="7DB73BFC" w14:textId="77777777" w:rsidR="00803B2C" w:rsidRDefault="00803B2C" w:rsidP="0002795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79851F31" w14:textId="77777777"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1214D83" w14:textId="77777777" w:rsidTr="63F2E82B">
        <w:trPr>
          <w:trHeight w:val="397"/>
        </w:trPr>
        <w:tc>
          <w:tcPr>
            <w:tcW w:w="7513" w:type="dxa"/>
          </w:tcPr>
          <w:p w14:paraId="455CEFF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96F2816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58618B70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12F316A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Narodziny tragedii czyli hellenizm i pesymizm</w:t>
            </w:r>
            <w:r>
              <w:rPr>
                <w:lang w:eastAsia="en-US"/>
              </w:rPr>
              <w:t>, przeł. L. Staff, Wyd. Zielona Sowa, Kraków 2003.</w:t>
            </w:r>
          </w:p>
          <w:p w14:paraId="7A876E4B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Poza dobrem i złem</w:t>
            </w:r>
            <w:r>
              <w:rPr>
                <w:lang w:eastAsia="en-US"/>
              </w:rPr>
              <w:t>, przeł. S. Wyrzykowski, Warszawa 1905.</w:t>
            </w:r>
          </w:p>
          <w:p w14:paraId="389F3BB1" w14:textId="49F53E1F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Kuderowicz Z., </w:t>
            </w:r>
            <w:r>
              <w:rPr>
                <w:i/>
                <w:lang w:eastAsia="en-US"/>
              </w:rPr>
              <w:t>Nietzsche</w:t>
            </w:r>
            <w:r>
              <w:rPr>
                <w:lang w:eastAsia="en-US"/>
              </w:rPr>
              <w:t>, wyd. Wiedza Powszechna, Warszawa 1976</w:t>
            </w:r>
            <w:r w:rsidR="008B5AE5">
              <w:rPr>
                <w:lang w:eastAsia="en-US"/>
              </w:rPr>
              <w:t>.</w:t>
            </w:r>
          </w:p>
          <w:p w14:paraId="4FC1C64C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Wilhelma Diltheya koncepcja hermeneutyki życia</w:t>
            </w:r>
            <w:r>
              <w:rPr>
                <w:lang w:eastAsia="en-US"/>
              </w:rPr>
              <w:t>, [w:] „Studia Filozoficzne”, 1984, nr 3.</w:t>
            </w:r>
          </w:p>
          <w:p w14:paraId="57E13902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Kuderowicz Z., </w:t>
            </w:r>
            <w:r>
              <w:rPr>
                <w:i/>
                <w:lang w:eastAsia="en-US"/>
              </w:rPr>
              <w:t>Wartość filozofii w rozumieniu Diltheya</w:t>
            </w:r>
            <w:r>
              <w:rPr>
                <w:lang w:eastAsia="en-US"/>
              </w:rPr>
              <w:t>, [w:] „Studia Filozoficzne”, 1964, nr 3.</w:t>
            </w:r>
          </w:p>
          <w:p w14:paraId="7654F50A" w14:textId="086E53E4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Pojęcie ducha obiektywnego w filozofii W. Diltheya na tle myśli G.W. Hegla, H. Rickerta i N. Hartmanna</w:t>
            </w:r>
            <w:r>
              <w:rPr>
                <w:lang w:eastAsia="en-US"/>
              </w:rPr>
              <w:t>, {w:] „Studia Filozoficzne’, 8 (1984)</w:t>
            </w:r>
            <w:r w:rsidR="008B5AE5">
              <w:rPr>
                <w:lang w:eastAsia="en-US"/>
              </w:rPr>
              <w:t>.</w:t>
            </w:r>
          </w:p>
          <w:p w14:paraId="34496F61" w14:textId="11D3564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Wilhelma Diltheya koncepcja hermeneutyki życia</w:t>
            </w:r>
            <w:r>
              <w:rPr>
                <w:lang w:eastAsia="en-US"/>
              </w:rPr>
              <w:t>, „Studia filozoficzne”, 3 (1984)</w:t>
            </w:r>
            <w:r w:rsidR="008B5AE5">
              <w:rPr>
                <w:lang w:eastAsia="en-US"/>
              </w:rPr>
              <w:t>.</w:t>
            </w:r>
          </w:p>
          <w:p w14:paraId="0042A1B3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Wojnar I., </w:t>
            </w:r>
            <w:r>
              <w:rPr>
                <w:i/>
                <w:lang w:eastAsia="en-US"/>
              </w:rPr>
              <w:t>Bergson</w:t>
            </w:r>
            <w:r>
              <w:rPr>
                <w:lang w:eastAsia="en-US"/>
              </w:rPr>
              <w:t>, Wyd. Wiedza Powszechna, Warszawa 1985.</w:t>
            </w:r>
          </w:p>
          <w:p w14:paraId="1742121E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Kołakowski L. </w:t>
            </w:r>
            <w:r>
              <w:rPr>
                <w:i/>
                <w:lang w:eastAsia="en-US"/>
              </w:rPr>
              <w:t>Bergson</w:t>
            </w:r>
            <w:r>
              <w:rPr>
                <w:lang w:eastAsia="en-US"/>
              </w:rPr>
              <w:t>, Wyd. PWN, Warszawa 1997.</w:t>
            </w:r>
          </w:p>
          <w:p w14:paraId="5CBDC451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Rosińska Z., </w:t>
            </w:r>
            <w:r>
              <w:rPr>
                <w:i/>
                <w:lang w:eastAsia="en-US"/>
              </w:rPr>
              <w:t>Freud</w:t>
            </w:r>
            <w:r>
              <w:rPr>
                <w:lang w:eastAsia="en-US"/>
              </w:rPr>
              <w:t>, Wyd. Wiedza Powszechna, Warszawa 2002.</w:t>
            </w:r>
          </w:p>
          <w:p w14:paraId="77214134" w14:textId="59740C55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Bakradze K., </w:t>
            </w:r>
            <w:r>
              <w:rPr>
                <w:i/>
                <w:lang w:eastAsia="en-US"/>
              </w:rPr>
              <w:t>Z dziejów filozofii współczesnej</w:t>
            </w:r>
            <w:r>
              <w:rPr>
                <w:lang w:eastAsia="en-US"/>
              </w:rPr>
              <w:t>, tłum. H. Zelnikowa, Warszawa 1964</w:t>
            </w:r>
            <w:r w:rsidR="008B5AE5">
              <w:rPr>
                <w:lang w:eastAsia="en-US"/>
              </w:rPr>
              <w:t>.</w:t>
            </w:r>
          </w:p>
          <w:p w14:paraId="51CF5BE1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Cassirer E., </w:t>
            </w:r>
            <w:r>
              <w:rPr>
                <w:i/>
                <w:lang w:eastAsia="en-US"/>
              </w:rPr>
              <w:t>Krytyka rozumu jako krytyka kultury</w:t>
            </w:r>
            <w:r>
              <w:rPr>
                <w:lang w:eastAsia="en-US"/>
              </w:rPr>
              <w:t>, tłum. A. Kołodziej, [w:] Z. Kuderowicz, „Filozofia współczesna” t. II, Warszawa 1983.</w:t>
            </w:r>
          </w:p>
          <w:p w14:paraId="1B04A779" w14:textId="3E6217CA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Buczyńska H., </w:t>
            </w:r>
            <w:r>
              <w:rPr>
                <w:i/>
                <w:lang w:eastAsia="en-US"/>
              </w:rPr>
              <w:t>Cassirer</w:t>
            </w:r>
            <w:r>
              <w:rPr>
                <w:lang w:eastAsia="en-US"/>
              </w:rPr>
              <w:t>, Wyd. Wiedza Powszechna, Warszawa 1963.</w:t>
            </w:r>
          </w:p>
          <w:p w14:paraId="1C99938B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lastRenderedPageBreak/>
              <w:t xml:space="preserve">Windelband W., </w:t>
            </w:r>
            <w:r>
              <w:rPr>
                <w:i/>
                <w:lang w:eastAsia="en-US"/>
              </w:rPr>
              <w:t>Historia a nauki przyrodnicze</w:t>
            </w:r>
            <w:r>
              <w:rPr>
                <w:lang w:eastAsia="en-US"/>
              </w:rPr>
              <w:t>, tłum. J. Wiziński,  [w:] „Philosophon Agora” 1989 nr 1.</w:t>
            </w:r>
          </w:p>
          <w:p w14:paraId="4ABDF305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Rickert H., </w:t>
            </w:r>
            <w:r>
              <w:rPr>
                <w:i/>
                <w:lang w:eastAsia="en-US"/>
              </w:rPr>
              <w:t>Podstawowy problem teorii poznania</w:t>
            </w:r>
            <w:r>
              <w:rPr>
                <w:lang w:eastAsia="en-US"/>
              </w:rPr>
              <w:t>, tłum. J. Wiziński, [w:] „Philosophon Agora” 1989 nr 1.</w:t>
            </w:r>
          </w:p>
          <w:p w14:paraId="7420D124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Rickert H., </w:t>
            </w:r>
            <w:r>
              <w:rPr>
                <w:i/>
                <w:lang w:eastAsia="en-US"/>
              </w:rPr>
              <w:t>Uzasadnienie obiektywności</w:t>
            </w:r>
            <w:r>
              <w:rPr>
                <w:lang w:eastAsia="en-US"/>
              </w:rPr>
              <w:t>, tłum. J. Wiziński,  [w:] „Philosophon Agora” 1989 nr 1.</w:t>
            </w:r>
          </w:p>
          <w:p w14:paraId="2A04597A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Natorp P.; </w:t>
            </w:r>
            <w:r>
              <w:rPr>
                <w:i/>
                <w:lang w:eastAsia="en-US"/>
              </w:rPr>
              <w:t>Filozofia</w:t>
            </w:r>
            <w:r>
              <w:rPr>
                <w:lang w:eastAsia="en-US"/>
              </w:rPr>
              <w:t xml:space="preserve"> [w:] „Filozofia i socjologia XX wieku”, red. B. Baczko, Wyd. Wiedza Powszechna, Warszawa 1965.</w:t>
            </w:r>
          </w:p>
          <w:p w14:paraId="03E9597E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Szyszkowska M., </w:t>
            </w:r>
            <w:r>
              <w:rPr>
                <w:i/>
                <w:lang w:eastAsia="en-US"/>
              </w:rPr>
              <w:t>Neokantyzm Filozofia społeczna wraz z filozofią prawa natury o zmiennej treści</w:t>
            </w:r>
            <w:r>
              <w:rPr>
                <w:lang w:eastAsia="en-US"/>
              </w:rPr>
              <w:t>, Wyd. Instytut Wydawniczy PAX, Warszawa 1970.</w:t>
            </w:r>
          </w:p>
          <w:p w14:paraId="2A1AE4C8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Trochimska-Kubacka B, </w:t>
            </w:r>
            <w:r>
              <w:rPr>
                <w:i/>
                <w:lang w:eastAsia="en-US"/>
              </w:rPr>
              <w:t>Neokantyzm</w:t>
            </w:r>
            <w:r>
              <w:rPr>
                <w:lang w:eastAsia="en-US"/>
              </w:rPr>
              <w:t>, Wydawnictwo Uniwersytetu Wrocławskiego, Wrocław 1997.</w:t>
            </w:r>
          </w:p>
          <w:p w14:paraId="64C7945C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Przyłębski A., </w:t>
            </w:r>
            <w:r>
              <w:rPr>
                <w:i/>
                <w:lang w:eastAsia="en-US"/>
              </w:rPr>
              <w:t>W poszukiwaniu królestwa filozofii. Z dziejów neokantyzmu badeńskiego</w:t>
            </w:r>
            <w:r>
              <w:rPr>
                <w:lang w:eastAsia="en-US"/>
              </w:rPr>
              <w:t>, Wyd. Naukowe UAM, Poznań 1993.</w:t>
            </w:r>
          </w:p>
          <w:p w14:paraId="5793871B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Noras A. J., </w:t>
            </w:r>
            <w:r>
              <w:rPr>
                <w:i/>
                <w:lang w:eastAsia="en-US"/>
              </w:rPr>
              <w:t>Kant a neokantyzm badeński i marburski</w:t>
            </w:r>
            <w:r>
              <w:rPr>
                <w:lang w:eastAsia="en-US"/>
              </w:rPr>
              <w:t>, Wyd. Uniwersytetu Śląskiego, Katowice 200.</w:t>
            </w:r>
          </w:p>
          <w:p w14:paraId="51B2F00C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Święcicka K. </w:t>
            </w:r>
            <w:r>
              <w:rPr>
                <w:i/>
                <w:lang w:eastAsia="en-US"/>
              </w:rPr>
              <w:t>Husserl</w:t>
            </w:r>
            <w:r>
              <w:rPr>
                <w:lang w:eastAsia="en-US"/>
              </w:rPr>
              <w:t>, wyd. Wiedza Powszechna, Warszawa 1993.</w:t>
            </w:r>
          </w:p>
          <w:p w14:paraId="58AFE303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Kołakowski L. </w:t>
            </w:r>
            <w:r>
              <w:rPr>
                <w:i/>
                <w:lang w:eastAsia="en-US"/>
              </w:rPr>
              <w:t>Husserl i poszukiwanie pewności</w:t>
            </w:r>
            <w:r>
              <w:rPr>
                <w:lang w:eastAsia="en-US"/>
              </w:rPr>
              <w:t>, Warszawa 1987.</w:t>
            </w:r>
          </w:p>
          <w:p w14:paraId="6EA4BE15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Sady W. </w:t>
            </w:r>
            <w:r>
              <w:rPr>
                <w:i/>
                <w:lang w:eastAsia="en-US"/>
              </w:rPr>
              <w:t>Wittgenstein: Życie i dzieło</w:t>
            </w:r>
            <w:r>
              <w:rPr>
                <w:lang w:eastAsia="en-US"/>
              </w:rPr>
              <w:t xml:space="preserve">, Wyd. </w:t>
            </w:r>
            <w:r>
              <w:rPr>
                <w:lang w:val="de-DE" w:eastAsia="en-US"/>
              </w:rPr>
              <w:t>Daimonion, Lublin 1993.</w:t>
            </w:r>
          </w:p>
          <w:p w14:paraId="411D1D38" w14:textId="546AF794" w:rsidR="00803B2C" w:rsidRDefault="00803B2C" w:rsidP="00DC12D5">
            <w:pPr>
              <w:pStyle w:val="Textbody"/>
              <w:spacing w:after="0"/>
            </w:pPr>
            <w:r>
              <w:rPr>
                <w:lang w:val="de-DE" w:eastAsia="en-US"/>
              </w:rPr>
              <w:t xml:space="preserve">Wolniewicz B. </w:t>
            </w:r>
            <w:r>
              <w:rPr>
                <w:i/>
                <w:lang w:val="de-DE" w:eastAsia="en-US"/>
              </w:rPr>
              <w:t>Wittgenstein</w:t>
            </w:r>
            <w:r>
              <w:rPr>
                <w:lang w:val="de-DE" w:eastAsia="en-US"/>
              </w:rPr>
              <w:t xml:space="preserve">, </w:t>
            </w:r>
            <w:r>
              <w:rPr>
                <w:lang w:eastAsia="en-US"/>
              </w:rPr>
              <w:t>PWN, Warszawa 1963</w:t>
            </w:r>
            <w:r w:rsidR="008B5AE5">
              <w:rPr>
                <w:lang w:eastAsia="en-US"/>
              </w:rPr>
              <w:t>.</w:t>
            </w:r>
          </w:p>
          <w:p w14:paraId="14F6D546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Węgrzecki A., </w:t>
            </w:r>
            <w:r>
              <w:rPr>
                <w:i/>
                <w:lang w:eastAsia="en-US"/>
              </w:rPr>
              <w:t>Scheler</w:t>
            </w:r>
            <w:r>
              <w:rPr>
                <w:lang w:eastAsia="en-US"/>
              </w:rPr>
              <w:t>, Wyd. Wiedza Powszechna, Warszawa 1975.</w:t>
            </w:r>
          </w:p>
          <w:p w14:paraId="5C608F6E" w14:textId="04173862" w:rsidR="00803B2C" w:rsidRDefault="00803B2C" w:rsidP="00DC12D5">
            <w:pPr>
              <w:pStyle w:val="Textbody"/>
              <w:spacing w:after="0"/>
            </w:pPr>
            <w:r>
              <w:rPr>
                <w:color w:val="000000"/>
                <w:lang w:eastAsia="en-US"/>
              </w:rPr>
              <w:t>Hartmann N</w:t>
            </w:r>
            <w:r>
              <w:rPr>
                <w:i/>
                <w:color w:val="000000"/>
                <w:lang w:eastAsia="en-US"/>
              </w:rPr>
              <w:t xml:space="preserve">., </w:t>
            </w:r>
            <w:r>
              <w:rPr>
                <w:i/>
                <w:lang w:eastAsia="en-US"/>
              </w:rPr>
              <w:t>Jak w ogóle możliwa jest krytyczna ontologia? Przyczynek do ugruntowania ogólnej nauki o kategoriach.</w:t>
            </w:r>
            <w:r>
              <w:rPr>
                <w:lang w:eastAsia="en-US"/>
              </w:rPr>
              <w:t xml:space="preserve"> Przeł. A. J. Noras. [w:] „Principia. Pisma koncepcyjne z filozofii i socjologii teoretycznej”. Tom 27-28. Kraków 2000</w:t>
            </w:r>
            <w:r w:rsidR="008B5AE5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</w:p>
          <w:p w14:paraId="7F6B6738" w14:textId="77777777" w:rsidR="00803B2C" w:rsidRDefault="00803B2C" w:rsidP="00DC12D5">
            <w:pPr>
              <w:pStyle w:val="Textbody"/>
              <w:spacing w:after="0"/>
            </w:pPr>
            <w:r>
              <w:rPr>
                <w:color w:val="000000"/>
                <w:lang w:eastAsia="en-US"/>
              </w:rPr>
              <w:t>Hartmann N</w:t>
            </w:r>
            <w:r>
              <w:rPr>
                <w:i/>
                <w:color w:val="000000"/>
                <w:lang w:eastAsia="en-US"/>
              </w:rPr>
              <w:t xml:space="preserve">. </w:t>
            </w:r>
            <w:r>
              <w:rPr>
                <w:i/>
                <w:lang w:eastAsia="en-US"/>
              </w:rPr>
              <w:t>,Nowe drogi ontologii</w:t>
            </w:r>
            <w:r>
              <w:rPr>
                <w:lang w:eastAsia="en-US"/>
              </w:rPr>
              <w:t>. Przeł. L. Kopciuch, A. Mordka. Wyd. Rolewski, Toruń 1998.</w:t>
            </w:r>
          </w:p>
          <w:p w14:paraId="5663BDA3" w14:textId="77777777" w:rsidR="00803B2C" w:rsidRDefault="00803B2C" w:rsidP="00DC12D5">
            <w:pPr>
              <w:pStyle w:val="Textbody"/>
            </w:pPr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Hartmann N., </w:t>
            </w:r>
            <w:r>
              <w:rPr>
                <w:i/>
                <w:lang w:eastAsia="en-US"/>
              </w:rPr>
              <w:t>Zarys metafizyki poznania,</w:t>
            </w:r>
            <w:r>
              <w:rPr>
                <w:lang w:eastAsia="en-US"/>
              </w:rPr>
              <w:t xml:space="preserve"> Przeł. E. Drzazgowska, P. Piszczatowski. Wyd. IFiS PAN, Warszawa 2007.</w:t>
            </w:r>
          </w:p>
          <w:p w14:paraId="4B6EFE71" w14:textId="0D9762A0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Hidegger M., </w:t>
            </w:r>
            <w:r>
              <w:rPr>
                <w:i/>
                <w:lang w:eastAsia="en-US"/>
              </w:rPr>
              <w:t>Co zwie się myśleniem</w:t>
            </w:r>
            <w:r>
              <w:rPr>
                <w:lang w:eastAsia="en-US"/>
              </w:rPr>
              <w:t>?, przeł. J. Mizera, PWN, Warszawa-Wrocław 2000.</w:t>
            </w:r>
          </w:p>
          <w:p w14:paraId="7C2401ED" w14:textId="242A1221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Kant a problem Metafizyki</w:t>
            </w:r>
            <w:r>
              <w:rPr>
                <w:lang w:eastAsia="en-US"/>
              </w:rPr>
              <w:t>, przeł. B. Baran, PWN Warszawa 1989.</w:t>
            </w:r>
          </w:p>
          <w:p w14:paraId="0C6AC8E0" w14:textId="77777777" w:rsidR="00803B2C" w:rsidRDefault="00803B2C" w:rsidP="00DC12D5">
            <w:pPr>
              <w:pStyle w:val="Textbody"/>
              <w:spacing w:after="0"/>
            </w:pPr>
            <w:r w:rsidRPr="00B67991">
              <w:rPr>
                <w:lang w:val="it-IT" w:eastAsia="en-US"/>
              </w:rPr>
              <w:t xml:space="preserve">Heidegger M., </w:t>
            </w:r>
            <w:r w:rsidRPr="00B67991">
              <w:rPr>
                <w:i/>
                <w:lang w:val="it-IT" w:eastAsia="en-US"/>
              </w:rPr>
              <w:t>Drogi lasu</w:t>
            </w:r>
            <w:r w:rsidRPr="00B67991">
              <w:rPr>
                <w:lang w:val="it-IT" w:eastAsia="en-US"/>
              </w:rPr>
              <w:t xml:space="preserve">, Przeł.  </w:t>
            </w:r>
            <w:r>
              <w:rPr>
                <w:lang w:eastAsia="en-US"/>
              </w:rPr>
              <w:t>J. Gierasimiuk, R. Marszałek, J. Mizera, J. Sidorek, K. Wolicki, Wyd. Fundacja Aletheia, Warszawa 1997.</w:t>
            </w:r>
          </w:p>
          <w:p w14:paraId="77A902E0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Gromczyński W., </w:t>
            </w:r>
            <w:r>
              <w:rPr>
                <w:i/>
                <w:lang w:eastAsia="en-US"/>
              </w:rPr>
              <w:t>Egzystencjalizm J. P. Sartre’a</w:t>
            </w:r>
            <w:r>
              <w:rPr>
                <w:lang w:eastAsia="en-US"/>
              </w:rPr>
              <w:t>, [w:] „Studia filozoficzne”1979, nr 7.</w:t>
            </w:r>
          </w:p>
          <w:p w14:paraId="29E052D9" w14:textId="77777777" w:rsidR="00DC12D5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Pomian K., </w:t>
            </w:r>
            <w:r>
              <w:rPr>
                <w:i/>
                <w:lang w:eastAsia="en-US"/>
              </w:rPr>
              <w:t>Sartre – filozof ludzkiej egzystencji</w:t>
            </w:r>
            <w:r>
              <w:rPr>
                <w:lang w:eastAsia="en-US"/>
              </w:rPr>
              <w:t>, [w:] „Filozofia i socjologia XX wieku”, t. 2, Warszawa 1965.</w:t>
            </w:r>
          </w:p>
          <w:p w14:paraId="1DD711E5" w14:textId="3C09201F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Rudziński R. Jaspers, </w:t>
            </w:r>
            <w:r w:rsidR="00BB3D0F">
              <w:rPr>
                <w:lang w:eastAsia="en-US"/>
              </w:rPr>
              <w:t>W</w:t>
            </w:r>
            <w:r>
              <w:rPr>
                <w:lang w:eastAsia="en-US"/>
              </w:rPr>
              <w:t>yd. Wiedza Powszechna, Warszawa 1978.</w:t>
            </w:r>
          </w:p>
          <w:p w14:paraId="5ED64778" w14:textId="49019AC3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Płużański T., </w:t>
            </w:r>
            <w:r>
              <w:rPr>
                <w:i/>
                <w:lang w:eastAsia="en-US"/>
              </w:rPr>
              <w:t>Mounier</w:t>
            </w:r>
            <w:r>
              <w:rPr>
                <w:lang w:eastAsia="en-US"/>
              </w:rPr>
              <w:t xml:space="preserve">, </w:t>
            </w:r>
            <w:r w:rsidR="00BB3D0F">
              <w:rPr>
                <w:lang w:eastAsia="en-US"/>
              </w:rPr>
              <w:t>W</w:t>
            </w:r>
            <w:r>
              <w:rPr>
                <w:lang w:eastAsia="en-US"/>
              </w:rPr>
              <w:t>yd. Wiedza Powszechna, Warszawa 1967, s. 7-143.</w:t>
            </w:r>
          </w:p>
          <w:p w14:paraId="5D80B928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Grant W., </w:t>
            </w:r>
            <w:r>
              <w:rPr>
                <w:i/>
                <w:lang w:eastAsia="en-US"/>
              </w:rPr>
              <w:t>Idea osoby w pismach E. Mouniera</w:t>
            </w:r>
            <w:r>
              <w:rPr>
                <w:lang w:eastAsia="en-US"/>
              </w:rPr>
              <w:t>, „Zeszyty Naukowe KUL” 1957.</w:t>
            </w:r>
          </w:p>
          <w:p w14:paraId="2E4C2952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James W., </w:t>
            </w:r>
            <w:r>
              <w:rPr>
                <w:i/>
                <w:lang w:eastAsia="en-US"/>
              </w:rPr>
              <w:t>Znaczenie prawdy. Ciąg dalszy pragmatyzmu</w:t>
            </w:r>
            <w:r>
              <w:rPr>
                <w:lang w:eastAsia="en-US"/>
              </w:rPr>
              <w:t>, przeł. M. Szczubiałka, Wyd. KR. Warszawa 2000.</w:t>
            </w:r>
          </w:p>
          <w:p w14:paraId="3AD9F6F2" w14:textId="22149619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Putnam H., </w:t>
            </w:r>
            <w:r>
              <w:rPr>
                <w:i/>
                <w:lang w:eastAsia="en-US"/>
              </w:rPr>
              <w:t>Pragmatyzm. Pytania otwarte</w:t>
            </w:r>
            <w:r>
              <w:rPr>
                <w:lang w:eastAsia="en-US"/>
              </w:rPr>
              <w:t xml:space="preserve">, przeł. B. Chwedeńczuk, </w:t>
            </w:r>
            <w:r w:rsidR="00BB3D0F">
              <w:rPr>
                <w:lang w:eastAsia="en-US"/>
              </w:rPr>
              <w:t>W</w:t>
            </w:r>
            <w:r>
              <w:rPr>
                <w:lang w:eastAsia="en-US"/>
              </w:rPr>
              <w:t>yd. Aletheia, Warszawa 1999.</w:t>
            </w:r>
          </w:p>
          <w:p w14:paraId="56E378AE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R, </w:t>
            </w:r>
            <w:r>
              <w:rPr>
                <w:i/>
                <w:lang w:eastAsia="en-US"/>
              </w:rPr>
              <w:t>Konsekwencje pragmatyzmu Eseje z lat 1972-1980</w:t>
            </w:r>
            <w:r>
              <w:rPr>
                <w:lang w:eastAsia="en-US"/>
              </w:rPr>
              <w:t>, przeł. C. Karkowski, Wyd. IfiS PAN, Warszawa 1998.</w:t>
            </w:r>
          </w:p>
          <w:p w14:paraId="6F999216" w14:textId="77777777" w:rsidR="00803B2C" w:rsidRDefault="00803B2C" w:rsidP="00DC12D5">
            <w:pPr>
              <w:pStyle w:val="Textbody"/>
              <w:spacing w:after="0"/>
            </w:pPr>
            <w:r>
              <w:rPr>
                <w:i/>
                <w:lang w:eastAsia="en-US"/>
              </w:rPr>
              <w:lastRenderedPageBreak/>
              <w:t>Habermas, Rorty, Kołakowski: stan filozofii współczesnej</w:t>
            </w:r>
            <w:r>
              <w:rPr>
                <w:lang w:eastAsia="en-US"/>
              </w:rPr>
              <w:t>, przeł. J. Niżnik, Wyd. IFiS PAN, Warszawa 1996.</w:t>
            </w:r>
          </w:p>
          <w:p w14:paraId="71863EE4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Szahaj A., </w:t>
            </w:r>
            <w:r>
              <w:rPr>
                <w:i/>
                <w:lang w:eastAsia="en-US"/>
              </w:rPr>
              <w:t>Ironia i miłość. Neopragmatyzm Richarda Rorty’ego w kontekście sporu o postmodernizm</w:t>
            </w:r>
            <w:r>
              <w:rPr>
                <w:lang w:eastAsia="en-US"/>
              </w:rPr>
              <w:t>, Fundacja na Rzecz Nauki Polskiej, Wrocław 1995.</w:t>
            </w:r>
          </w:p>
          <w:p w14:paraId="4627960E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68. Kwiek M., </w:t>
            </w:r>
            <w:r>
              <w:rPr>
                <w:i/>
                <w:lang w:eastAsia="en-US"/>
              </w:rPr>
              <w:t>Rorty i Lyotard. W labiryntach postmoderny</w:t>
            </w:r>
            <w:r>
              <w:rPr>
                <w:lang w:eastAsia="en-US"/>
              </w:rPr>
              <w:t>, Wyd. Nauk. IF UAM, Poznań 1994.</w:t>
            </w:r>
          </w:p>
          <w:p w14:paraId="77B48035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Żardecka-Nowak M. </w:t>
            </w:r>
            <w:r>
              <w:rPr>
                <w:i/>
                <w:lang w:eastAsia="en-US"/>
              </w:rPr>
              <w:t>Wspólnota i ironia. Richard Rorty i jego wizja społeczeństwa liberalnego</w:t>
            </w:r>
            <w:r>
              <w:rPr>
                <w:lang w:eastAsia="en-US"/>
              </w:rPr>
              <w:t>, Wyd. KUL, Lublin 2003.</w:t>
            </w:r>
          </w:p>
          <w:p w14:paraId="62A76B63" w14:textId="0ACEF415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O gramatologii</w:t>
            </w:r>
            <w:r>
              <w:rPr>
                <w:lang w:eastAsia="en-US"/>
              </w:rPr>
              <w:t>, przeł. Bogdan Banasiak, Wydawnictwo KR, Warszawa 1999</w:t>
            </w:r>
            <w:r w:rsidR="00BB3D0F">
              <w:rPr>
                <w:lang w:eastAsia="en-US"/>
              </w:rPr>
              <w:t>.</w:t>
            </w:r>
          </w:p>
          <w:p w14:paraId="4BCF91CD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Marginesy filozofii</w:t>
            </w:r>
            <w:r>
              <w:rPr>
                <w:lang w:eastAsia="en-US"/>
              </w:rPr>
              <w:t>, przeł. Adam Dziadek, Janusz Margański, Paweł Pieniążek, Wydawnictwo KR, Warszawa 2002.</w:t>
            </w:r>
          </w:p>
          <w:p w14:paraId="7938A458" w14:textId="0D05BC9B" w:rsidR="000F5E25" w:rsidRDefault="00803B2C" w:rsidP="00DC12D5">
            <w:pPr>
              <w:pStyle w:val="Textbody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 Derrida J., </w:t>
            </w:r>
            <w:r>
              <w:rPr>
                <w:i/>
                <w:color w:val="333333"/>
                <w:lang w:eastAsia="en-US"/>
              </w:rPr>
              <w:t>Pismo i różnica</w:t>
            </w:r>
            <w:r>
              <w:rPr>
                <w:color w:val="333333"/>
                <w:lang w:eastAsia="en-US"/>
              </w:rPr>
              <w:t>, przeł. Krzysztof Kłosiński, Wydawnictwo KR, Warszawa 2004.</w:t>
            </w:r>
          </w:p>
          <w:p w14:paraId="58827DCF" w14:textId="241282AE" w:rsidR="00803B2C" w:rsidRPr="00D149B5" w:rsidRDefault="000F5E25" w:rsidP="00D149B5">
            <w:pPr>
              <w:pStyle w:val="Textbody"/>
              <w:rPr>
                <w:color w:val="333333"/>
                <w:lang w:eastAsia="en-US"/>
              </w:rPr>
            </w:pPr>
            <w:r w:rsidRPr="000F5E25">
              <w:rPr>
                <w:color w:val="333333"/>
                <w:lang w:eastAsia="en-US"/>
              </w:rPr>
              <w:t>James Ian</w:t>
            </w:r>
            <w:r>
              <w:rPr>
                <w:color w:val="333333"/>
                <w:lang w:eastAsia="en-US"/>
              </w:rPr>
              <w:t>,</w:t>
            </w:r>
            <w:r w:rsidRPr="000F5E25">
              <w:rPr>
                <w:color w:val="333333"/>
                <w:lang w:eastAsia="en-US"/>
              </w:rPr>
              <w:t xml:space="preserve"> </w:t>
            </w:r>
            <w:r w:rsidRPr="000F5E25">
              <w:rPr>
                <w:i/>
                <w:iCs/>
                <w:color w:val="333333"/>
                <w:lang w:eastAsia="en-US"/>
              </w:rPr>
              <w:t>Nowa filozofia francuska</w:t>
            </w:r>
            <w:r w:rsidRPr="000F5E25">
              <w:rPr>
                <w:color w:val="333333"/>
                <w:lang w:eastAsia="en-US"/>
              </w:rPr>
              <w:t>; przekł. Joanna Bednarek, Piotr Juskowiak</w:t>
            </w:r>
            <w:r w:rsidR="00BB3D0F">
              <w:rPr>
                <w:color w:val="333333"/>
                <w:lang w:eastAsia="en-US"/>
              </w:rPr>
              <w:t xml:space="preserve">, </w:t>
            </w:r>
            <w:r w:rsidRPr="000F5E25">
              <w:rPr>
                <w:color w:val="333333"/>
                <w:lang w:eastAsia="en-US"/>
              </w:rPr>
              <w:t xml:space="preserve">PWN S.A., </w:t>
            </w:r>
            <w:r w:rsidR="00BB3D0F" w:rsidRPr="000F5E25">
              <w:rPr>
                <w:color w:val="333333"/>
                <w:lang w:eastAsia="en-US"/>
              </w:rPr>
              <w:t xml:space="preserve">Warszawa </w:t>
            </w:r>
            <w:r w:rsidRPr="000F5E25">
              <w:rPr>
                <w:color w:val="333333"/>
                <w:lang w:eastAsia="en-US"/>
              </w:rPr>
              <w:t>2014.</w:t>
            </w:r>
          </w:p>
        </w:tc>
      </w:tr>
    </w:tbl>
    <w:p w14:paraId="15A74F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AFB0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1C529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EC3A5" w14:textId="77777777" w:rsidR="00E84E5D" w:rsidRDefault="00E84E5D" w:rsidP="00C16ABF">
      <w:pPr>
        <w:spacing w:after="0" w:line="240" w:lineRule="auto"/>
      </w:pPr>
      <w:r>
        <w:separator/>
      </w:r>
    </w:p>
  </w:endnote>
  <w:endnote w:type="continuationSeparator" w:id="0">
    <w:p w14:paraId="41DBE7DC" w14:textId="77777777" w:rsidR="00E84E5D" w:rsidRDefault="00E84E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2955617"/>
      <w:docPartObj>
        <w:docPartGallery w:val="Page Numbers (Bottom of Page)"/>
        <w:docPartUnique/>
      </w:docPartObj>
    </w:sdtPr>
    <w:sdtEndPr/>
    <w:sdtContent>
      <w:p w14:paraId="5A532899" w14:textId="082E77E0" w:rsidR="000F5E25" w:rsidRDefault="000F5E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55D">
          <w:rPr>
            <w:noProof/>
          </w:rPr>
          <w:t>1</w:t>
        </w:r>
        <w:r>
          <w:fldChar w:fldCharType="end"/>
        </w:r>
      </w:p>
    </w:sdtContent>
  </w:sdt>
  <w:p w14:paraId="24FDB119" w14:textId="77777777" w:rsidR="000F5E25" w:rsidRDefault="000F5E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37AE1" w14:textId="77777777" w:rsidR="00E84E5D" w:rsidRDefault="00E84E5D" w:rsidP="00C16ABF">
      <w:pPr>
        <w:spacing w:after="0" w:line="240" w:lineRule="auto"/>
      </w:pPr>
      <w:r>
        <w:separator/>
      </w:r>
    </w:p>
  </w:footnote>
  <w:footnote w:type="continuationSeparator" w:id="0">
    <w:p w14:paraId="1173F9F3" w14:textId="77777777" w:rsidR="00E84E5D" w:rsidRDefault="00E84E5D" w:rsidP="00C16ABF">
      <w:pPr>
        <w:spacing w:after="0" w:line="240" w:lineRule="auto"/>
      </w:pPr>
      <w:r>
        <w:continuationSeparator/>
      </w:r>
    </w:p>
  </w:footnote>
  <w:footnote w:id="1">
    <w:p w14:paraId="276FC4A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795D"/>
    <w:rsid w:val="00042A51"/>
    <w:rsid w:val="00042D2E"/>
    <w:rsid w:val="00044C82"/>
    <w:rsid w:val="000625B3"/>
    <w:rsid w:val="000636C2"/>
    <w:rsid w:val="00070ED6"/>
    <w:rsid w:val="000742DC"/>
    <w:rsid w:val="00081CAC"/>
    <w:rsid w:val="00084C12"/>
    <w:rsid w:val="0009462C"/>
    <w:rsid w:val="00094B12"/>
    <w:rsid w:val="00096C46"/>
    <w:rsid w:val="000A296F"/>
    <w:rsid w:val="000A2A28"/>
    <w:rsid w:val="000B01B9"/>
    <w:rsid w:val="000B192D"/>
    <w:rsid w:val="000B28EE"/>
    <w:rsid w:val="000B3E37"/>
    <w:rsid w:val="000B6113"/>
    <w:rsid w:val="000C4936"/>
    <w:rsid w:val="000D04B0"/>
    <w:rsid w:val="000F1C57"/>
    <w:rsid w:val="000F5615"/>
    <w:rsid w:val="000F5E2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7A4"/>
    <w:rsid w:val="001718A7"/>
    <w:rsid w:val="001737CF"/>
    <w:rsid w:val="00176083"/>
    <w:rsid w:val="001770C7"/>
    <w:rsid w:val="00192F37"/>
    <w:rsid w:val="001A70D2"/>
    <w:rsid w:val="001D2AAA"/>
    <w:rsid w:val="001D2F1E"/>
    <w:rsid w:val="001D657B"/>
    <w:rsid w:val="001D7B54"/>
    <w:rsid w:val="001E0209"/>
    <w:rsid w:val="001F2CA2"/>
    <w:rsid w:val="002144C0"/>
    <w:rsid w:val="0022477D"/>
    <w:rsid w:val="002278A9"/>
    <w:rsid w:val="002336F9"/>
    <w:rsid w:val="00236AC4"/>
    <w:rsid w:val="0024028F"/>
    <w:rsid w:val="00244ABC"/>
    <w:rsid w:val="00255B46"/>
    <w:rsid w:val="00281FF2"/>
    <w:rsid w:val="002857DE"/>
    <w:rsid w:val="00291567"/>
    <w:rsid w:val="002A208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CF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5764B"/>
    <w:rsid w:val="00461EFC"/>
    <w:rsid w:val="00464793"/>
    <w:rsid w:val="004652C2"/>
    <w:rsid w:val="004706D1"/>
    <w:rsid w:val="00471326"/>
    <w:rsid w:val="0047598D"/>
    <w:rsid w:val="004837FB"/>
    <w:rsid w:val="004840FD"/>
    <w:rsid w:val="00490F7D"/>
    <w:rsid w:val="00491678"/>
    <w:rsid w:val="004968E2"/>
    <w:rsid w:val="004A3EEA"/>
    <w:rsid w:val="004A4D1F"/>
    <w:rsid w:val="004D5282"/>
    <w:rsid w:val="004F1551"/>
    <w:rsid w:val="004F3BC9"/>
    <w:rsid w:val="004F3C8E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0D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B4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24C"/>
    <w:rsid w:val="0078168C"/>
    <w:rsid w:val="00787C2A"/>
    <w:rsid w:val="00790E27"/>
    <w:rsid w:val="007A4022"/>
    <w:rsid w:val="007A6E6E"/>
    <w:rsid w:val="007C3299"/>
    <w:rsid w:val="007C3BCC"/>
    <w:rsid w:val="007C4546"/>
    <w:rsid w:val="007C6196"/>
    <w:rsid w:val="007D6E56"/>
    <w:rsid w:val="007F1652"/>
    <w:rsid w:val="007F4155"/>
    <w:rsid w:val="00803B2C"/>
    <w:rsid w:val="0081554D"/>
    <w:rsid w:val="0081707E"/>
    <w:rsid w:val="008449B3"/>
    <w:rsid w:val="0085747A"/>
    <w:rsid w:val="00884922"/>
    <w:rsid w:val="00885F64"/>
    <w:rsid w:val="008917F9"/>
    <w:rsid w:val="008962C9"/>
    <w:rsid w:val="008A45F7"/>
    <w:rsid w:val="008A62CD"/>
    <w:rsid w:val="008B5AE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6CE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87F"/>
    <w:rsid w:val="00A92C95"/>
    <w:rsid w:val="00A97DE1"/>
    <w:rsid w:val="00AB053C"/>
    <w:rsid w:val="00AB3EB2"/>
    <w:rsid w:val="00AC7099"/>
    <w:rsid w:val="00AD1146"/>
    <w:rsid w:val="00AD27D3"/>
    <w:rsid w:val="00AD66D6"/>
    <w:rsid w:val="00AE1160"/>
    <w:rsid w:val="00AE203C"/>
    <w:rsid w:val="00AE2E74"/>
    <w:rsid w:val="00AE412F"/>
    <w:rsid w:val="00AE5FCB"/>
    <w:rsid w:val="00AF2C1E"/>
    <w:rsid w:val="00B05F94"/>
    <w:rsid w:val="00B06142"/>
    <w:rsid w:val="00B135B1"/>
    <w:rsid w:val="00B276DC"/>
    <w:rsid w:val="00B3130B"/>
    <w:rsid w:val="00B35D96"/>
    <w:rsid w:val="00B40ADB"/>
    <w:rsid w:val="00B43B77"/>
    <w:rsid w:val="00B43E80"/>
    <w:rsid w:val="00B463CC"/>
    <w:rsid w:val="00B607DB"/>
    <w:rsid w:val="00B66529"/>
    <w:rsid w:val="00B75946"/>
    <w:rsid w:val="00B75AD2"/>
    <w:rsid w:val="00B8056E"/>
    <w:rsid w:val="00B819C8"/>
    <w:rsid w:val="00B82308"/>
    <w:rsid w:val="00B8470D"/>
    <w:rsid w:val="00B90885"/>
    <w:rsid w:val="00BB3D0F"/>
    <w:rsid w:val="00BB520A"/>
    <w:rsid w:val="00BC06A2"/>
    <w:rsid w:val="00BC755D"/>
    <w:rsid w:val="00BD3869"/>
    <w:rsid w:val="00BD66E9"/>
    <w:rsid w:val="00BD6FF4"/>
    <w:rsid w:val="00BF2C41"/>
    <w:rsid w:val="00C058B4"/>
    <w:rsid w:val="00C05F44"/>
    <w:rsid w:val="00C06F84"/>
    <w:rsid w:val="00C131B5"/>
    <w:rsid w:val="00C1513C"/>
    <w:rsid w:val="00C16ABF"/>
    <w:rsid w:val="00C170AE"/>
    <w:rsid w:val="00C2361B"/>
    <w:rsid w:val="00C26CB7"/>
    <w:rsid w:val="00C324C1"/>
    <w:rsid w:val="00C36992"/>
    <w:rsid w:val="00C56036"/>
    <w:rsid w:val="00C61DC5"/>
    <w:rsid w:val="00C67E92"/>
    <w:rsid w:val="00C70A26"/>
    <w:rsid w:val="00C766DF"/>
    <w:rsid w:val="00C82A79"/>
    <w:rsid w:val="00C94B98"/>
    <w:rsid w:val="00CA2B96"/>
    <w:rsid w:val="00CA5089"/>
    <w:rsid w:val="00CD6897"/>
    <w:rsid w:val="00CE5BAC"/>
    <w:rsid w:val="00CE7658"/>
    <w:rsid w:val="00CF25BE"/>
    <w:rsid w:val="00CF78ED"/>
    <w:rsid w:val="00D02B25"/>
    <w:rsid w:val="00D02EBA"/>
    <w:rsid w:val="00D149B5"/>
    <w:rsid w:val="00D17C3C"/>
    <w:rsid w:val="00D26B2C"/>
    <w:rsid w:val="00D352C9"/>
    <w:rsid w:val="00D36E19"/>
    <w:rsid w:val="00D36EA3"/>
    <w:rsid w:val="00D425B2"/>
    <w:rsid w:val="00D428D6"/>
    <w:rsid w:val="00D552B2"/>
    <w:rsid w:val="00D608D1"/>
    <w:rsid w:val="00D60ACE"/>
    <w:rsid w:val="00D74119"/>
    <w:rsid w:val="00D8075B"/>
    <w:rsid w:val="00D8678B"/>
    <w:rsid w:val="00D87DDA"/>
    <w:rsid w:val="00D915FC"/>
    <w:rsid w:val="00DA2114"/>
    <w:rsid w:val="00DB6330"/>
    <w:rsid w:val="00DC12D5"/>
    <w:rsid w:val="00DE09C0"/>
    <w:rsid w:val="00DE4A14"/>
    <w:rsid w:val="00DE6CB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E5D"/>
    <w:rsid w:val="00E9156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2A6"/>
    <w:rsid w:val="00F526AF"/>
    <w:rsid w:val="00F617C3"/>
    <w:rsid w:val="00F65825"/>
    <w:rsid w:val="00F7066B"/>
    <w:rsid w:val="00F83B28"/>
    <w:rsid w:val="00F872DA"/>
    <w:rsid w:val="00FA46E5"/>
    <w:rsid w:val="00FB7DBA"/>
    <w:rsid w:val="00FC1C25"/>
    <w:rsid w:val="00FC3F45"/>
    <w:rsid w:val="00FD503F"/>
    <w:rsid w:val="00FD7589"/>
    <w:rsid w:val="00FE45E7"/>
    <w:rsid w:val="00FF016A"/>
    <w:rsid w:val="00FF1401"/>
    <w:rsid w:val="00FF5E7D"/>
    <w:rsid w:val="080CD05C"/>
    <w:rsid w:val="0A4E6729"/>
    <w:rsid w:val="0C4BC6BC"/>
    <w:rsid w:val="0D67CD4F"/>
    <w:rsid w:val="0FFEB653"/>
    <w:rsid w:val="1358313B"/>
    <w:rsid w:val="15AC18D9"/>
    <w:rsid w:val="1B4F0BFD"/>
    <w:rsid w:val="1C06E21C"/>
    <w:rsid w:val="1E6B3DC3"/>
    <w:rsid w:val="20B6ED6C"/>
    <w:rsid w:val="21AA0FA4"/>
    <w:rsid w:val="23AA3DA0"/>
    <w:rsid w:val="250FDBE9"/>
    <w:rsid w:val="27CE92C6"/>
    <w:rsid w:val="2A5935AF"/>
    <w:rsid w:val="2E3895C7"/>
    <w:rsid w:val="30A279AE"/>
    <w:rsid w:val="334F976E"/>
    <w:rsid w:val="354D98B8"/>
    <w:rsid w:val="36304D73"/>
    <w:rsid w:val="38589043"/>
    <w:rsid w:val="39316EA9"/>
    <w:rsid w:val="3AD30A06"/>
    <w:rsid w:val="3D305B72"/>
    <w:rsid w:val="3D83368A"/>
    <w:rsid w:val="486F5921"/>
    <w:rsid w:val="491D3205"/>
    <w:rsid w:val="4987783E"/>
    <w:rsid w:val="4FE858CB"/>
    <w:rsid w:val="51F9DE56"/>
    <w:rsid w:val="5234A070"/>
    <w:rsid w:val="528905F5"/>
    <w:rsid w:val="538D0FF6"/>
    <w:rsid w:val="53F1D499"/>
    <w:rsid w:val="54632941"/>
    <w:rsid w:val="551B236F"/>
    <w:rsid w:val="57AE1999"/>
    <w:rsid w:val="59AD2A0B"/>
    <w:rsid w:val="5C4AD5B9"/>
    <w:rsid w:val="613C7D91"/>
    <w:rsid w:val="63B3A090"/>
    <w:rsid w:val="63DF3992"/>
    <w:rsid w:val="63F2E82B"/>
    <w:rsid w:val="645D1EFF"/>
    <w:rsid w:val="64FB54A9"/>
    <w:rsid w:val="6865F1B3"/>
    <w:rsid w:val="6D80214E"/>
    <w:rsid w:val="72323DDA"/>
    <w:rsid w:val="730D92AC"/>
    <w:rsid w:val="7405BD23"/>
    <w:rsid w:val="75B1BE44"/>
    <w:rsid w:val="7BE8B3E2"/>
    <w:rsid w:val="7E879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4BC11"/>
  <w15:docId w15:val="{9AA54DE8-A20F-454A-874A-86095A08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8A62CD"/>
    <w:pPr>
      <w:suppressAutoHyphens/>
      <w:autoSpaceDN w:val="0"/>
      <w:spacing w:after="120"/>
      <w:textAlignment w:val="baseline"/>
    </w:pPr>
    <w:rPr>
      <w:rFonts w:cs="Calibri"/>
      <w:kern w:val="3"/>
      <w:lang w:eastAsia="zh-CN"/>
    </w:rPr>
  </w:style>
  <w:style w:type="paragraph" w:customStyle="1" w:styleId="Standard">
    <w:name w:val="Standard"/>
    <w:rsid w:val="00803B2C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45C78CDC93A45B506D89D9A1C8748" ma:contentTypeVersion="4" ma:contentTypeDescription="Utwórz nowy dokument." ma:contentTypeScope="" ma:versionID="9cedca0cc8f4f1622b83b370a0e94b0a">
  <xsd:schema xmlns:xsd="http://www.w3.org/2001/XMLSchema" xmlns:xs="http://www.w3.org/2001/XMLSchema" xmlns:p="http://schemas.microsoft.com/office/2006/metadata/properties" xmlns:ns2="638177ae-b90c-4e18-8cea-e0a8f0311ad4" targetNamespace="http://schemas.microsoft.com/office/2006/metadata/properties" ma:root="true" ma:fieldsID="77a9fa7dd18868ea77eb814e26c06b67" ns2:_="">
    <xsd:import namespace="638177ae-b90c-4e18-8cea-e0a8f0311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8177ae-b90c-4e18-8cea-e0a8f0311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49A70-D16C-4451-A2A7-85A1BB1C78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BCEA73-BA10-43AC-BAD5-EE7CD915D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8177ae-b90c-4e18-8cea-e0a8f0311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F02EB-BF6F-447E-93DC-D85C44E3BE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9B0BC-4D34-4D27-89E2-122FFE84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3891</Words>
  <Characters>23352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 systemu Windows</cp:lastModifiedBy>
  <cp:revision>11</cp:revision>
  <cp:lastPrinted>2021-10-04T11:37:00Z</cp:lastPrinted>
  <dcterms:created xsi:type="dcterms:W3CDTF">2025-02-25T09:01:00Z</dcterms:created>
  <dcterms:modified xsi:type="dcterms:W3CDTF">2025-03-07T12:28:00Z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0x01010054145C78CDC93A45B506D89D9A1C8748</vt:lpwstr>
  </property>
  <property fmtid="{D5CDD505-2E9C-101B-9397-08002B2CF9AE}" pid="3" name="GrammarlyDocumentId">
    <vt:lpwstr>275391a98764d48dbd97ba3e5e62a9dba0ae7c0f203422a1d5f72ba57f2cf1d9</vt:lpwstr>
  </property>
</Properties>
</file>